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0FF9" w14:textId="0F75670A" w:rsidR="00B50D8D" w:rsidRPr="00341720" w:rsidRDefault="00282B56" w:rsidP="00341720">
      <w:pPr>
        <w:pStyle w:val="CDIDOIInformation"/>
      </w:pPr>
      <w:fldSimple w:instr=" DOCPROPERTY  Year  \* MERGEFORMAT ">
        <w:r w:rsidR="00FB3BEF">
          <w:t>2024</w:t>
        </w:r>
      </w:fldSimple>
      <w:r w:rsidR="00A623E8" w:rsidRPr="00341720">
        <w:t xml:space="preserve"> • </w:t>
      </w:r>
      <w:r w:rsidR="00B50D8D" w:rsidRPr="00341720">
        <w:t xml:space="preserve">Volume </w:t>
      </w:r>
      <w:r w:rsidR="00CE67A0">
        <w:fldChar w:fldCharType="begin"/>
      </w:r>
      <w:r w:rsidR="00CE67A0">
        <w:instrText xml:space="preserve"> DOCPROPERTY  Vol  \* MERGEFORMAT </w:instrText>
      </w:r>
      <w:r w:rsidR="00CE67A0">
        <w:fldChar w:fldCharType="separate"/>
      </w:r>
      <w:r w:rsidR="00FB3BEF">
        <w:t>48</w:t>
      </w:r>
      <w:r w:rsidR="00CE67A0">
        <w:fldChar w:fldCharType="end"/>
      </w:r>
      <w:r w:rsidR="00725C33" w:rsidRPr="00341720">
        <w:t xml:space="preserve"> </w:t>
      </w:r>
      <w:r w:rsidR="008E3F81" w:rsidRPr="00341720">
        <w:t>•</w:t>
      </w:r>
      <w:r w:rsidR="00725C33" w:rsidRPr="00341720">
        <w:t xml:space="preserve"> </w:t>
      </w:r>
      <w:r w:rsidR="00CE67A0">
        <w:fldChar w:fldCharType="begin"/>
      </w:r>
      <w:r w:rsidR="00CE67A0">
        <w:instrText xml:space="preserve"> DOCPROPERTY  DOI  \* MERGEFORMAT </w:instrText>
      </w:r>
      <w:r w:rsidR="00CE67A0">
        <w:fldChar w:fldCharType="separate"/>
      </w:r>
      <w:r w:rsidR="00B63015">
        <w:t>https://doi.org/10.33321/cdi.2024.48.26</w:t>
      </w:r>
      <w:r w:rsidR="00CE67A0">
        <w:fldChar w:fldCharType="end"/>
      </w:r>
      <w:r w:rsidR="00725C33" w:rsidRPr="00341720">
        <w:t xml:space="preserve"> </w:t>
      </w:r>
      <w:r w:rsidR="00D20FB5" w:rsidRPr="00341720">
        <w:t>•</w:t>
      </w:r>
      <w:r w:rsidR="00D20FB5">
        <w:t xml:space="preserve"> </w:t>
      </w:r>
      <w:r w:rsidR="00D20FB5" w:rsidRPr="00341720">
        <w:t xml:space="preserve">Electronic publication date: </w:t>
      </w:r>
      <w:r w:rsidR="00CE67A0">
        <w:fldChar w:fldCharType="begin"/>
      </w:r>
      <w:r w:rsidR="00CE67A0">
        <w:instrText xml:space="preserve"> DOCPROPERTY  ePubDate  \* MERGEFORMAT </w:instrText>
      </w:r>
      <w:r w:rsidR="00CE67A0">
        <w:fldChar w:fldCharType="separate"/>
      </w:r>
      <w:r w:rsidR="00B63015">
        <w:t>17/07/2024</w:t>
      </w:r>
      <w:r w:rsidR="00CE67A0">
        <w:fldChar w:fldCharType="end"/>
      </w:r>
    </w:p>
    <w:p w14:paraId="54C1B220" w14:textId="2E2F5DD7" w:rsidR="00E30C30" w:rsidRPr="0037146D" w:rsidRDefault="00DC710C" w:rsidP="00DC710C">
      <w:pPr>
        <w:pStyle w:val="Title"/>
        <w:divId w:val="935526654"/>
      </w:pPr>
      <w:r>
        <w:t>The effect of COVID-19 public health measures on nationally notifiable diseases in Australia during 2020 and 2021</w:t>
      </w:r>
    </w:p>
    <w:p w14:paraId="25DB5A68" w14:textId="46EE0846" w:rsidR="007A33B9" w:rsidRPr="0037146D" w:rsidRDefault="00DC710C" w:rsidP="0037146D">
      <w:pPr>
        <w:pStyle w:val="Subtitle"/>
        <w:divId w:val="935526654"/>
      </w:pPr>
      <w:r w:rsidRPr="00DC710C">
        <w:t>Anna C Rafferty, Anna Glynn-Robinson, Dharshi Thangarajah, Ben Polkingho</w:t>
      </w:r>
      <w:r>
        <w:t>rn</w:t>
      </w:r>
      <w:r w:rsidRPr="00DC710C">
        <w:t>e</w:t>
      </w:r>
    </w:p>
    <w:p w14:paraId="6B280705" w14:textId="77777777" w:rsidR="0037146D" w:rsidRDefault="0037146D" w:rsidP="0037146D">
      <w:pPr>
        <w:pStyle w:val="Heading1"/>
        <w:divId w:val="935526654"/>
        <w:rPr>
          <w:lang w:val="en-GB"/>
        </w:rPr>
      </w:pPr>
      <w:r>
        <w:rPr>
          <w:lang w:val="en-GB"/>
        </w:rPr>
        <w:t>Abstract</w:t>
      </w:r>
    </w:p>
    <w:p w14:paraId="0DDC6C3D" w14:textId="77777777" w:rsidR="00DC710C" w:rsidRPr="00DC710C" w:rsidRDefault="00DC710C" w:rsidP="00DC710C">
      <w:pPr>
        <w:divId w:val="935526654"/>
        <w:rPr>
          <w:lang w:val="en-GB"/>
        </w:rPr>
      </w:pPr>
      <w:r w:rsidRPr="00DC710C">
        <w:rPr>
          <w:lang w:val="en-GB"/>
        </w:rPr>
        <w:t>The novel coronavirus disease 2019 (COVID-19) pandemic prompted Australia to implement large-scale domestic lockdowns and halted international travel. However, the impact of these measures on national notifiable diseases is yet to been fully examined. In this paper, we expand on a preliminary analysis conducted in 2020, and conducted a retrospective, observational study using nationally notifiable disease surveillance system (NNDSS) data to examine if the changes identified in the first half of 2020 continued in Australia through wide-scale public health measures.</w:t>
      </w:r>
    </w:p>
    <w:p w14:paraId="5C310EEA" w14:textId="77777777" w:rsidR="00DC710C" w:rsidRPr="00DC710C" w:rsidRDefault="00DC710C" w:rsidP="00DC710C">
      <w:pPr>
        <w:pStyle w:val="Normal-morespace"/>
        <w:divId w:val="935526654"/>
        <w:rPr>
          <w:lang w:val="en-GB"/>
        </w:rPr>
      </w:pPr>
      <w:r w:rsidRPr="00DC710C">
        <w:rPr>
          <w:lang w:val="en-GB"/>
        </w:rPr>
        <w:t>We found that there was an overall reduction in most of Australia’s nationally notifiable diseases over the two pandemic years during which wide-scale public health measures remained in operation, particularly for 23 social and imported diseases. We observed an increase in notifications for psittacosis, leptospirosis and legionellosis during these years. The public health measures implemented in 2020 and 2021 (including lockdowns, mask mandates, and increased hand and respiratory hygiene) may have contributed to the observed notification reductions. The outcomes of these measures’ implementation provide insights into broader communicable disease control for mass outbreaks and pandemic responses.</w:t>
      </w:r>
    </w:p>
    <w:p w14:paraId="2CEF0041" w14:textId="249C13A1" w:rsidR="007726DC" w:rsidRDefault="00620509" w:rsidP="007726DC">
      <w:pPr>
        <w:pStyle w:val="CDIBoxTextGreen"/>
        <w:rPr>
          <w:lang w:val="en-GB"/>
        </w:rPr>
      </w:pPr>
      <w:r w:rsidRPr="0037146D">
        <w:rPr>
          <w:lang w:val="en-GB"/>
        </w:rPr>
        <w:t xml:space="preserve">Keywords: </w:t>
      </w:r>
      <w:r w:rsidR="00DC710C" w:rsidRPr="00DC710C">
        <w:rPr>
          <w:lang w:val="en-GB"/>
        </w:rPr>
        <w:t>Australia; communicable disease; COVID-19; surveillance</w:t>
      </w:r>
      <w:r w:rsidR="007726DC">
        <w:rPr>
          <w:lang w:val="en-GB"/>
        </w:rPr>
        <w:br w:type="page"/>
      </w:r>
    </w:p>
    <w:p w14:paraId="40F9377B" w14:textId="77777777" w:rsidR="00B63015" w:rsidRDefault="00B63015" w:rsidP="00B63015">
      <w:pPr>
        <w:pStyle w:val="Heading1"/>
        <w:divId w:val="935526654"/>
      </w:pPr>
      <w:r>
        <w:lastRenderedPageBreak/>
        <w:t>Introduction</w:t>
      </w:r>
    </w:p>
    <w:p w14:paraId="5116D412" w14:textId="77777777" w:rsidR="00DC710C" w:rsidRPr="00DC710C" w:rsidRDefault="00DC710C" w:rsidP="00DC710C">
      <w:pPr>
        <w:divId w:val="935526654"/>
        <w:rPr>
          <w:lang w:val="en-GB"/>
        </w:rPr>
      </w:pPr>
      <w:r w:rsidRPr="00DC710C">
        <w:rPr>
          <w:lang w:val="en-GB"/>
        </w:rPr>
        <w:t>In response to the novel coronavirus disease 2019 (COVID-19) pandemic and its rapid international spread, Australia implemented large-scale domestic lockdowns and halted international travel in mid-March 2020.</w:t>
      </w:r>
      <w:r w:rsidRPr="00DC710C">
        <w:rPr>
          <w:vertAlign w:val="superscript"/>
          <w:lang w:val="en-GB"/>
        </w:rPr>
        <w:t>1</w:t>
      </w:r>
      <w:r w:rsidRPr="00DC710C">
        <w:rPr>
          <w:lang w:val="en-GB"/>
        </w:rPr>
        <w:t xml:space="preserve"> At the national and jurisdictional levels, significant public health measures were implemented over different periods in 2020 and 2021 and included domestic border closures, curfews, mask mandates, and lockdown zones.</w:t>
      </w:r>
    </w:p>
    <w:p w14:paraId="73D2A62E" w14:textId="77777777" w:rsidR="00DC710C" w:rsidRPr="00DC710C" w:rsidRDefault="00DC710C" w:rsidP="00DC710C">
      <w:pPr>
        <w:divId w:val="935526654"/>
        <w:rPr>
          <w:lang w:val="en-GB"/>
        </w:rPr>
      </w:pPr>
      <w:r w:rsidRPr="00DC710C">
        <w:rPr>
          <w:lang w:val="en-GB"/>
        </w:rPr>
        <w:t>A preliminary report reviewed the impact that these public health restrictions had on other notifiable diseases in Australia for the first half of 2020.</w:t>
      </w:r>
      <w:r w:rsidRPr="00DC710C">
        <w:rPr>
          <w:vertAlign w:val="superscript"/>
          <w:lang w:val="en-GB"/>
        </w:rPr>
        <w:t>1</w:t>
      </w:r>
      <w:r w:rsidRPr="00DC710C">
        <w:rPr>
          <w:lang w:val="en-GB"/>
        </w:rPr>
        <w:t xml:space="preserve"> This analysis found there were reductions in notifications reported for several notifiable diseases in Australia, most notable in imported diseases, social diseases, and foodborne diseases. The analysis also identified small increases in diseases frequently seen in Australia, such as environmental exposure-related diseases (legionellosis) or vector-borne diseases (Ross River virus).</w:t>
      </w:r>
      <w:r w:rsidRPr="00DC710C">
        <w:rPr>
          <w:vertAlign w:val="superscript"/>
          <w:lang w:val="en-GB"/>
        </w:rPr>
        <w:t>1</w:t>
      </w:r>
      <w:r w:rsidRPr="00DC710C">
        <w:rPr>
          <w:lang w:val="en-GB"/>
        </w:rPr>
        <w:t xml:space="preserve"> Similar analyses have been conducted internationally, with global trends showing reductions in respiratory, gastrointestinal, and vaccine-preventable illnesses across several countries, attributed in part to physical distancing and improved hygiene.</w:t>
      </w:r>
      <w:r w:rsidRPr="00DC710C">
        <w:rPr>
          <w:vertAlign w:val="superscript"/>
          <w:lang w:val="en-GB"/>
        </w:rPr>
        <w:t>2–7</w:t>
      </w:r>
    </w:p>
    <w:p w14:paraId="733E2546" w14:textId="77777777" w:rsidR="00DC710C" w:rsidRPr="00DC710C" w:rsidRDefault="00DC710C" w:rsidP="00DC710C">
      <w:pPr>
        <w:divId w:val="935526654"/>
        <w:rPr>
          <w:lang w:val="en-GB"/>
        </w:rPr>
      </w:pPr>
      <w:r w:rsidRPr="00DC710C">
        <w:rPr>
          <w:lang w:val="en-GB"/>
        </w:rPr>
        <w:t>The longer-term impact of these measures on notifiable diseases in Australia has not been fully explored. In this paper, we expand on the preliminary analysis conducted in 2020, examining changes in nationally notifiable diseases in Australia during periods of wide-scale public health measures. The purpose of this analysis is to help inform future public health responses and to understand how the COVID-19 pandemic impacted communicable disease epidemiology in Australia.</w:t>
      </w:r>
    </w:p>
    <w:p w14:paraId="261EAA37" w14:textId="77777777" w:rsidR="00B63015" w:rsidRDefault="00B63015" w:rsidP="00B63015">
      <w:pPr>
        <w:pStyle w:val="Heading1"/>
        <w:divId w:val="935526654"/>
        <w:rPr>
          <w:lang w:val="en-GB"/>
        </w:rPr>
      </w:pPr>
      <w:r>
        <w:rPr>
          <w:lang w:val="en-GB"/>
        </w:rPr>
        <w:t>Methods</w:t>
      </w:r>
    </w:p>
    <w:p w14:paraId="360CDAE8" w14:textId="0A7B8DCC" w:rsidR="00DC710C" w:rsidRPr="00DC710C" w:rsidRDefault="00DC710C" w:rsidP="00DC710C">
      <w:pPr>
        <w:divId w:val="935526654"/>
        <w:rPr>
          <w:lang w:val="en-GB"/>
        </w:rPr>
      </w:pPr>
      <w:r w:rsidRPr="00DC710C">
        <w:rPr>
          <w:lang w:val="en-GB"/>
        </w:rPr>
        <w:t>Excluding COVID-19, all notifiable disease notifications with a diagnosis date from 1 January 2015 to 31</w:t>
      </w:r>
      <w:r w:rsidR="00C34F96">
        <w:rPr>
          <w:lang w:val="en-GB"/>
        </w:rPr>
        <w:t> </w:t>
      </w:r>
      <w:r w:rsidRPr="00DC710C">
        <w:rPr>
          <w:lang w:val="en-GB"/>
        </w:rPr>
        <w:t>December 2021 were extracted from the National Notifiable Diseases Surveillance System (NNDSS) on 22 February 2022. Diagnosis date represents the true onset date of disease; in the absence of a true onset date, the earliest of the following dates was used: specimen collection date, notification date, or notification received date.</w:t>
      </w:r>
    </w:p>
    <w:p w14:paraId="2636CB7A" w14:textId="77777777" w:rsidR="00DC710C" w:rsidRPr="00DC710C" w:rsidRDefault="00DC710C" w:rsidP="00DC710C">
      <w:pPr>
        <w:divId w:val="935526654"/>
        <w:rPr>
          <w:lang w:val="en-GB"/>
        </w:rPr>
      </w:pPr>
      <w:r w:rsidRPr="00DC710C">
        <w:rPr>
          <w:lang w:val="en-GB"/>
        </w:rPr>
        <w:t>We calculated percentage changes between the first two years of the COVID-19 pandemic (2020 and 2021, hereafter identified as ‘the pandemic years’) and 2019 for all diseases reported to the NNDSS, and between the pandemic years and a static five-year pre-pandemic mean (2015–2019) for all diseases except rotavirus, which had been only nationally notifiable for three years at the time of analysis. Notification rates were calculated for diseases where more than ten notifications were reported in each pandemic year (2020 and 2021) using national annual mid-year population estimates from the Australian Bureau of Statistics.</w:t>
      </w:r>
      <w:r w:rsidRPr="00DC710C">
        <w:rPr>
          <w:vertAlign w:val="superscript"/>
          <w:lang w:val="en-GB"/>
        </w:rPr>
        <w:t>8</w:t>
      </w:r>
    </w:p>
    <w:p w14:paraId="1F28CEF4" w14:textId="77777777" w:rsidR="00DC710C" w:rsidRPr="00DC710C" w:rsidRDefault="00DC710C" w:rsidP="00DC710C">
      <w:pPr>
        <w:divId w:val="935526654"/>
        <w:rPr>
          <w:lang w:val="en-GB"/>
        </w:rPr>
      </w:pPr>
      <w:r w:rsidRPr="00DC710C">
        <w:rPr>
          <w:lang w:val="en-GB"/>
        </w:rPr>
        <w:t xml:space="preserve">We used univariate negative binomial regression to calculate notification rate ratios (NRRs) and their associated 95% confidence intervals (CI) and </w:t>
      </w:r>
      <w:r w:rsidRPr="00DC710C">
        <w:rPr>
          <w:i/>
          <w:iCs/>
          <w:lang w:val="en-GB"/>
        </w:rPr>
        <w:t>p</w:t>
      </w:r>
      <w:r w:rsidRPr="00DC710C">
        <w:rPr>
          <w:lang w:val="en-GB"/>
        </w:rPr>
        <w:t xml:space="preserve"> values. Statistical analysis was conducted in STATA 17.</w:t>
      </w:r>
      <w:r w:rsidRPr="00DC710C">
        <w:rPr>
          <w:vertAlign w:val="superscript"/>
          <w:lang w:val="en-GB"/>
        </w:rPr>
        <w:t>9</w:t>
      </w:r>
    </w:p>
    <w:p w14:paraId="7B9832FD" w14:textId="0C8D02A6" w:rsidR="00DC710C" w:rsidRPr="00DC710C" w:rsidRDefault="00DC710C" w:rsidP="00DC710C">
      <w:pPr>
        <w:divId w:val="935526654"/>
        <w:rPr>
          <w:lang w:val="en-GB"/>
        </w:rPr>
      </w:pPr>
      <w:r w:rsidRPr="00DC710C">
        <w:rPr>
          <w:lang w:val="en-GB"/>
        </w:rPr>
        <w:t>We categorised notifiable diseases based on transmission dynamics, in line with the categories used in the preliminary analysis.</w:t>
      </w:r>
      <w:r w:rsidRPr="00DC710C">
        <w:rPr>
          <w:vertAlign w:val="superscript"/>
          <w:lang w:val="en-GB"/>
        </w:rPr>
        <w:t>1</w:t>
      </w:r>
      <w:r w:rsidRPr="00DC710C">
        <w:rPr>
          <w:lang w:val="en-GB"/>
        </w:rPr>
        <w:t xml:space="preserve"> These included: ‘social diseases’ requiring person-to-person contact; ‘imported diseases’ acquired overseas; and ‘foodborne diseases’ potentially associated with food consumption. We categorised additional diseases that did not meet the above criteria as ‘other diseases’ for the purpose of </w:t>
      </w:r>
      <w:r w:rsidRPr="00DC710C">
        <w:rPr>
          <w:lang w:val="en-GB"/>
        </w:rPr>
        <w:lastRenderedPageBreak/>
        <w:t xml:space="preserve">this analysis. Due to the different transmission routes of the two major Legionella species in Australia, </w:t>
      </w:r>
      <w:r w:rsidRPr="00DC710C">
        <w:rPr>
          <w:i/>
          <w:iCs/>
          <w:lang w:val="en-GB"/>
        </w:rPr>
        <w:t>L.</w:t>
      </w:r>
      <w:r w:rsidR="00C34F96">
        <w:rPr>
          <w:i/>
          <w:iCs/>
          <w:lang w:val="en-GB"/>
        </w:rPr>
        <w:t> </w:t>
      </w:r>
      <w:r w:rsidRPr="00DC710C">
        <w:rPr>
          <w:i/>
          <w:iCs/>
          <w:lang w:val="en-GB"/>
        </w:rPr>
        <w:t>longbeachae</w:t>
      </w:r>
      <w:r w:rsidRPr="00DC710C">
        <w:rPr>
          <w:lang w:val="en-GB"/>
        </w:rPr>
        <w:t xml:space="preserve"> and </w:t>
      </w:r>
      <w:r w:rsidRPr="00DC710C">
        <w:rPr>
          <w:i/>
          <w:iCs/>
          <w:lang w:val="en-GB"/>
        </w:rPr>
        <w:t>L. pneumophila</w:t>
      </w:r>
      <w:r w:rsidRPr="00DC710C">
        <w:rPr>
          <w:lang w:val="en-GB"/>
        </w:rPr>
        <w:t>, we analysed these species separately.</w:t>
      </w:r>
      <w:r w:rsidRPr="00DC710C">
        <w:rPr>
          <w:vertAlign w:val="superscript"/>
          <w:lang w:val="en-GB"/>
        </w:rPr>
        <w:t>10</w:t>
      </w:r>
      <w:r w:rsidRPr="00DC710C">
        <w:rPr>
          <w:lang w:val="en-GB"/>
        </w:rPr>
        <w:t xml:space="preserve"> The Australian National University provided ethics approval for this study (HREC Protocol 2022/273).</w:t>
      </w:r>
    </w:p>
    <w:p w14:paraId="75999B39" w14:textId="77777777" w:rsidR="00B63015" w:rsidRDefault="00B63015" w:rsidP="00B63015">
      <w:pPr>
        <w:pStyle w:val="Heading1"/>
        <w:divId w:val="935526654"/>
        <w:rPr>
          <w:lang w:val="en-GB"/>
        </w:rPr>
      </w:pPr>
      <w:r>
        <w:rPr>
          <w:lang w:val="en-GB"/>
        </w:rPr>
        <w:t>Results</w:t>
      </w:r>
    </w:p>
    <w:p w14:paraId="26B9F571" w14:textId="77777777" w:rsidR="00C34F96" w:rsidRPr="00C34F96" w:rsidRDefault="00C34F96" w:rsidP="00C34F96">
      <w:pPr>
        <w:divId w:val="935526654"/>
        <w:rPr>
          <w:lang w:val="en-GB"/>
        </w:rPr>
      </w:pPr>
      <w:r w:rsidRPr="00C34F96">
        <w:rPr>
          <w:lang w:val="en-GB"/>
        </w:rPr>
        <w:t>We present notification counts and percentage changes (Table 1) and calculated NRRs and significance values (Table 2) for notifiable diseases in Australia. Decreases were observed across the majority of notifiable diseases. Increases in notifications were observed for psittacosis, leptospirosis, and legionellosis.</w:t>
      </w:r>
    </w:p>
    <w:p w14:paraId="4709AAB8" w14:textId="77777777" w:rsidR="00C34F96" w:rsidRPr="00C34F96" w:rsidRDefault="00C34F96" w:rsidP="00C34F96">
      <w:pPr>
        <w:divId w:val="935526654"/>
        <w:rPr>
          <w:lang w:val="en-GB"/>
        </w:rPr>
      </w:pPr>
      <w:r w:rsidRPr="00C34F96">
        <w:rPr>
          <w:lang w:val="en-GB"/>
        </w:rPr>
        <w:t>Overall, there was a 57% reduction in notifications reported to the NNDSS in 2020 compared with 2019, and a 39% reduction compared with the static five-year mean (2015–2019). In 2021, there were 62% and 47% fewer notifications compared with 2019 and the static five-year (2015–2019) mean, respectively. We present in detail the epidemiology of notifiable diseases where there was an observed increase or decrease when compared with 2019 and the static five-year mean.</w:t>
      </w:r>
    </w:p>
    <w:p w14:paraId="59452776" w14:textId="77777777" w:rsidR="00C34F96" w:rsidRDefault="00C34F96" w:rsidP="00B63015">
      <w:pPr>
        <w:divId w:val="935526654"/>
        <w:rPr>
          <w:lang w:val="en-GB"/>
        </w:rPr>
        <w:sectPr w:rsidR="00C34F96"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20E4DBB6" w14:textId="32167F3A" w:rsidR="00B63015" w:rsidRDefault="00C34F96" w:rsidP="00C34F96">
      <w:pPr>
        <w:pStyle w:val="CDIFigure-Table-Title"/>
        <w:divId w:val="935526654"/>
      </w:pPr>
      <w:r w:rsidRPr="00C34F96">
        <w:lastRenderedPageBreak/>
        <w:t>Table 1: Nationally notifiable diseases notification numbers by disease group,</w:t>
      </w:r>
      <w:r w:rsidRPr="00C34F96">
        <w:rPr>
          <w:vertAlign w:val="superscript"/>
        </w:rPr>
        <w:t>a</w:t>
      </w:r>
      <w:r w:rsidRPr="00C34F96">
        <w:t xml:space="preserve"> year and static five-year mean, 1 January to 31 December, 2015–2021, Australia</w:t>
      </w:r>
    </w:p>
    <w:tbl>
      <w:tblPr>
        <w:tblW w:w="14343" w:type="dxa"/>
        <w:tblInd w:w="-8" w:type="dxa"/>
        <w:tblLayout w:type="fixed"/>
        <w:tblCellMar>
          <w:left w:w="0" w:type="dxa"/>
          <w:right w:w="0" w:type="dxa"/>
        </w:tblCellMar>
        <w:tblLook w:val="0000" w:firstRow="0" w:lastRow="0" w:firstColumn="0" w:lastColumn="0" w:noHBand="0" w:noVBand="0"/>
        <w:tblCaption w:val="Table 1: Nationally notifiable diseases notification numbers by disease group,a year and static five-year mean, 1 January to 31 December, 2015–2021, Australia"/>
        <w:tblDescription w:val="Nationally notifiable diseases notification numbers by disease group, year and 5-year mean, and percentage differences for the period, 1 January to 31 December, 2015–2021, Australia"/>
      </w:tblPr>
      <w:tblGrid>
        <w:gridCol w:w="1474"/>
        <w:gridCol w:w="3345"/>
        <w:gridCol w:w="1190"/>
        <w:gridCol w:w="1248"/>
        <w:gridCol w:w="1190"/>
        <w:gridCol w:w="1191"/>
        <w:gridCol w:w="1190"/>
        <w:gridCol w:w="1191"/>
        <w:gridCol w:w="1190"/>
        <w:gridCol w:w="1134"/>
      </w:tblGrid>
      <w:tr w:rsidR="003A257F" w:rsidRPr="003A257F" w14:paraId="09F1F5B7" w14:textId="77777777" w:rsidTr="00AE09DE">
        <w:trPr>
          <w:divId w:val="935526654"/>
          <w:trHeight w:val="20"/>
          <w:tblHeader/>
        </w:trPr>
        <w:tc>
          <w:tcPr>
            <w:tcW w:w="1474" w:type="dxa"/>
            <w:vMerge w:val="restart"/>
            <w:shd w:val="clear" w:color="auto" w:fill="033636" w:themeFill="text2"/>
            <w:tcMar>
              <w:top w:w="113" w:type="dxa"/>
              <w:left w:w="113" w:type="dxa"/>
              <w:bottom w:w="113" w:type="dxa"/>
              <w:right w:w="113" w:type="dxa"/>
            </w:tcMar>
            <w:vAlign w:val="bottom"/>
          </w:tcPr>
          <w:p w14:paraId="73F068D5" w14:textId="77777777" w:rsidR="003A257F" w:rsidRPr="003A257F" w:rsidRDefault="003A257F" w:rsidP="003A257F">
            <w:pPr>
              <w:pStyle w:val="CDIFigure-Table-H1Left"/>
            </w:pPr>
            <w:r w:rsidRPr="003A257F">
              <w:t>Disease group</w:t>
            </w:r>
          </w:p>
        </w:tc>
        <w:tc>
          <w:tcPr>
            <w:tcW w:w="3345" w:type="dxa"/>
            <w:vMerge w:val="restart"/>
            <w:shd w:val="clear" w:color="auto" w:fill="033636" w:themeFill="text2"/>
            <w:tcMar>
              <w:top w:w="113" w:type="dxa"/>
              <w:left w:w="113" w:type="dxa"/>
              <w:bottom w:w="113" w:type="dxa"/>
              <w:right w:w="113" w:type="dxa"/>
            </w:tcMar>
            <w:vAlign w:val="bottom"/>
          </w:tcPr>
          <w:p w14:paraId="68F2B4A1" w14:textId="77777777" w:rsidR="003A257F" w:rsidRPr="003A257F" w:rsidRDefault="003A257F" w:rsidP="003A257F">
            <w:pPr>
              <w:pStyle w:val="CDIFigure-Table-H1Left"/>
            </w:pPr>
            <w:r w:rsidRPr="003A257F">
              <w:t>Disease</w:t>
            </w:r>
          </w:p>
        </w:tc>
        <w:tc>
          <w:tcPr>
            <w:tcW w:w="4819" w:type="dxa"/>
            <w:gridSpan w:val="4"/>
            <w:tcBorders>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42086B11" w14:textId="77777777" w:rsidR="003A257F" w:rsidRPr="003A257F" w:rsidRDefault="003A257F" w:rsidP="003A257F">
            <w:pPr>
              <w:pStyle w:val="CDIFigure-Table-H1"/>
            </w:pPr>
            <w:r w:rsidRPr="003A257F">
              <w:t>Notifications (1 January – 31 December)</w:t>
            </w:r>
          </w:p>
        </w:tc>
        <w:tc>
          <w:tcPr>
            <w:tcW w:w="238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58003833" w14:textId="77777777" w:rsidR="003A257F" w:rsidRPr="003A257F" w:rsidRDefault="003A257F" w:rsidP="003A257F">
            <w:pPr>
              <w:pStyle w:val="CDIFigure-Table-H1"/>
            </w:pPr>
            <w:r w:rsidRPr="003A257F">
              <w:t>Percent difference (2020)</w:t>
            </w:r>
          </w:p>
        </w:tc>
        <w:tc>
          <w:tcPr>
            <w:tcW w:w="2324" w:type="dxa"/>
            <w:gridSpan w:val="2"/>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center"/>
          </w:tcPr>
          <w:p w14:paraId="1B78F23E" w14:textId="77777777" w:rsidR="003A257F" w:rsidRPr="003A257F" w:rsidRDefault="003A257F" w:rsidP="003A257F">
            <w:pPr>
              <w:pStyle w:val="CDIFigure-Table-H1"/>
            </w:pPr>
            <w:r w:rsidRPr="003A257F">
              <w:t>Percent difference (2021)</w:t>
            </w:r>
          </w:p>
        </w:tc>
      </w:tr>
      <w:tr w:rsidR="001E6632" w:rsidRPr="003A257F" w14:paraId="54191031" w14:textId="77777777" w:rsidTr="003E1D2E">
        <w:trPr>
          <w:divId w:val="935526654"/>
          <w:trHeight w:val="20"/>
          <w:tblHeader/>
        </w:trPr>
        <w:tc>
          <w:tcPr>
            <w:tcW w:w="1474" w:type="dxa"/>
            <w:vMerge/>
            <w:shd w:val="clear" w:color="auto" w:fill="033636" w:themeFill="text2"/>
          </w:tcPr>
          <w:p w14:paraId="226C2202" w14:textId="77777777" w:rsidR="003A257F" w:rsidRPr="003A257F" w:rsidRDefault="003A257F" w:rsidP="003A257F"/>
        </w:tc>
        <w:tc>
          <w:tcPr>
            <w:tcW w:w="3345" w:type="dxa"/>
            <w:vMerge/>
            <w:shd w:val="clear" w:color="auto" w:fill="033636" w:themeFill="text2"/>
          </w:tcPr>
          <w:p w14:paraId="296166DE" w14:textId="77777777" w:rsidR="003A257F" w:rsidRPr="003A257F" w:rsidRDefault="003A257F" w:rsidP="003A257F"/>
        </w:tc>
        <w:tc>
          <w:tcPr>
            <w:tcW w:w="11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8B418B6" w14:textId="77777777" w:rsidR="003A257F" w:rsidRPr="003A257F" w:rsidRDefault="003A257F" w:rsidP="003A257F">
            <w:pPr>
              <w:pStyle w:val="CDIFigure-Table-H1"/>
            </w:pPr>
            <w:r w:rsidRPr="003A257F">
              <w:t>2019</w:t>
            </w:r>
          </w:p>
        </w:tc>
        <w:tc>
          <w:tcPr>
            <w:tcW w:w="124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024AB39" w14:textId="77777777" w:rsidR="003A257F" w:rsidRPr="003A257F" w:rsidRDefault="003A257F" w:rsidP="003A257F">
            <w:pPr>
              <w:pStyle w:val="CDIFigure-Table-H1"/>
            </w:pPr>
            <w:r w:rsidRPr="003A257F">
              <w:t>5-year mean 2015–2019</w:t>
            </w:r>
          </w:p>
        </w:tc>
        <w:tc>
          <w:tcPr>
            <w:tcW w:w="11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9C990E3" w14:textId="77777777" w:rsidR="003A257F" w:rsidRPr="003A257F" w:rsidRDefault="003A257F" w:rsidP="003A257F">
            <w:pPr>
              <w:pStyle w:val="CDIFigure-Table-H1"/>
            </w:pPr>
            <w:r w:rsidRPr="003A257F">
              <w:t>2020</w:t>
            </w:r>
          </w:p>
        </w:tc>
        <w:tc>
          <w:tcPr>
            <w:tcW w:w="119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4C80C83" w14:textId="77777777" w:rsidR="003A257F" w:rsidRPr="003A257F" w:rsidRDefault="003A257F" w:rsidP="003A257F">
            <w:pPr>
              <w:pStyle w:val="CDIFigure-Table-H1"/>
            </w:pPr>
            <w:r w:rsidRPr="003A257F">
              <w:t>2021</w:t>
            </w:r>
          </w:p>
        </w:tc>
        <w:tc>
          <w:tcPr>
            <w:tcW w:w="119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994D255" w14:textId="0D4BC77F" w:rsidR="003A257F" w:rsidRPr="003A257F" w:rsidRDefault="003A257F" w:rsidP="003A257F">
            <w:pPr>
              <w:pStyle w:val="CDIFigure-Table-H1"/>
            </w:pPr>
            <w:r w:rsidRPr="003A257F">
              <w:t>vs.</w:t>
            </w:r>
            <w:r w:rsidRPr="003A257F">
              <w:br/>
              <w:t>2019</w:t>
            </w:r>
          </w:p>
        </w:tc>
        <w:tc>
          <w:tcPr>
            <w:tcW w:w="119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5D55F16D" w14:textId="7A462308" w:rsidR="003A257F" w:rsidRPr="003A257F" w:rsidRDefault="003A257F" w:rsidP="003A257F">
            <w:pPr>
              <w:pStyle w:val="CDIFigure-Table-H1"/>
            </w:pPr>
            <w:r w:rsidRPr="003A257F">
              <w:t>vs. 5-year mean</w:t>
            </w:r>
          </w:p>
        </w:tc>
        <w:tc>
          <w:tcPr>
            <w:tcW w:w="119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451BC7D3" w14:textId="77777777" w:rsidR="003A257F" w:rsidRPr="003A257F" w:rsidRDefault="003A257F" w:rsidP="003A257F">
            <w:pPr>
              <w:pStyle w:val="CDIFigure-Table-H1"/>
            </w:pPr>
            <w:r w:rsidRPr="003A257F">
              <w:t>vs.</w:t>
            </w:r>
            <w:r w:rsidRPr="003A257F">
              <w:br/>
              <w:t>2019</w:t>
            </w:r>
          </w:p>
        </w:tc>
        <w:tc>
          <w:tcPr>
            <w:tcW w:w="11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5CDD2B3" w14:textId="77777777" w:rsidR="003A257F" w:rsidRPr="003A257F" w:rsidRDefault="003A257F" w:rsidP="003A257F">
            <w:pPr>
              <w:pStyle w:val="CDIFigure-Table-H1"/>
            </w:pPr>
            <w:r w:rsidRPr="003A257F">
              <w:t>vs. 5-year mean</w:t>
            </w:r>
          </w:p>
        </w:tc>
      </w:tr>
      <w:tr w:rsidR="001E6632" w:rsidRPr="003A257F" w14:paraId="28E0F8AD" w14:textId="77777777" w:rsidTr="001223AA">
        <w:trPr>
          <w:divId w:val="935526654"/>
          <w:trHeight w:val="20"/>
        </w:trPr>
        <w:tc>
          <w:tcPr>
            <w:tcW w:w="1474"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8F089B" w14:textId="77777777" w:rsidR="003A257F" w:rsidRPr="003A257F" w:rsidRDefault="003A257F" w:rsidP="003A257F">
            <w:pPr>
              <w:pStyle w:val="CDIFigure-Table-BodyTextLeft"/>
            </w:pPr>
            <w:r w:rsidRPr="003A257F">
              <w:t>Bloodborne diseases</w:t>
            </w:r>
          </w:p>
        </w:tc>
        <w:tc>
          <w:tcPr>
            <w:tcW w:w="3345" w:type="dxa"/>
            <w:shd w:val="clear" w:color="auto" w:fill="F2F2F2" w:themeFill="background1" w:themeFillShade="F2"/>
            <w:tcMar>
              <w:top w:w="113" w:type="dxa"/>
              <w:left w:w="113" w:type="dxa"/>
              <w:bottom w:w="113" w:type="dxa"/>
              <w:right w:w="113" w:type="dxa"/>
            </w:tcMar>
            <w:vAlign w:val="center"/>
          </w:tcPr>
          <w:p w14:paraId="6A4A1638" w14:textId="77777777" w:rsidR="003A257F" w:rsidRPr="003A257F" w:rsidRDefault="003A257F" w:rsidP="003A257F">
            <w:pPr>
              <w:pStyle w:val="CDIFigure-Table-BodyTextLeft"/>
            </w:pPr>
            <w:r w:rsidRPr="003A257F">
              <w:t>Hepatitis B (newly acquired)</w:t>
            </w:r>
          </w:p>
        </w:tc>
        <w:tc>
          <w:tcPr>
            <w:tcW w:w="1190" w:type="dxa"/>
            <w:shd w:val="clear" w:color="auto" w:fill="F2F2F2" w:themeFill="background1" w:themeFillShade="F2"/>
            <w:tcMar>
              <w:top w:w="113" w:type="dxa"/>
              <w:left w:w="113" w:type="dxa"/>
              <w:bottom w:w="113" w:type="dxa"/>
              <w:right w:w="113" w:type="dxa"/>
            </w:tcMar>
            <w:vAlign w:val="center"/>
          </w:tcPr>
          <w:p w14:paraId="37436279" w14:textId="77777777" w:rsidR="003A257F" w:rsidRPr="003A257F" w:rsidRDefault="003A257F" w:rsidP="003A257F">
            <w:pPr>
              <w:pStyle w:val="CDIFigure-Table-BodyTextCentre"/>
            </w:pPr>
            <w:r w:rsidRPr="003A257F">
              <w:t>164</w:t>
            </w:r>
          </w:p>
        </w:tc>
        <w:tc>
          <w:tcPr>
            <w:tcW w:w="1248" w:type="dxa"/>
            <w:shd w:val="clear" w:color="auto" w:fill="F2F2F2" w:themeFill="background1" w:themeFillShade="F2"/>
            <w:tcMar>
              <w:top w:w="113" w:type="dxa"/>
              <w:left w:w="113" w:type="dxa"/>
              <w:bottom w:w="113" w:type="dxa"/>
              <w:right w:w="113" w:type="dxa"/>
            </w:tcMar>
            <w:vAlign w:val="center"/>
          </w:tcPr>
          <w:p w14:paraId="2F2586A9" w14:textId="77777777" w:rsidR="003A257F" w:rsidRPr="003A257F" w:rsidRDefault="003A257F" w:rsidP="003A257F">
            <w:pPr>
              <w:pStyle w:val="CDIFigure-Table-BodyTextCentre"/>
            </w:pPr>
            <w:r w:rsidRPr="003A257F">
              <w:t>154</w:t>
            </w:r>
          </w:p>
        </w:tc>
        <w:tc>
          <w:tcPr>
            <w:tcW w:w="1190" w:type="dxa"/>
            <w:shd w:val="clear" w:color="auto" w:fill="F2F2F2" w:themeFill="background1" w:themeFillShade="F2"/>
            <w:tcMar>
              <w:top w:w="113" w:type="dxa"/>
              <w:left w:w="113" w:type="dxa"/>
              <w:bottom w:w="113" w:type="dxa"/>
              <w:right w:w="113" w:type="dxa"/>
            </w:tcMar>
            <w:vAlign w:val="center"/>
          </w:tcPr>
          <w:p w14:paraId="4DABDEE8" w14:textId="77777777" w:rsidR="003A257F" w:rsidRPr="003A257F" w:rsidRDefault="003A257F" w:rsidP="003A257F">
            <w:pPr>
              <w:pStyle w:val="CDIFigure-Table-BodyTextCentre"/>
            </w:pPr>
            <w:r w:rsidRPr="003A257F">
              <w:t>122</w:t>
            </w:r>
          </w:p>
        </w:tc>
        <w:tc>
          <w:tcPr>
            <w:tcW w:w="1191" w:type="dxa"/>
            <w:shd w:val="clear" w:color="auto" w:fill="F2F2F2" w:themeFill="background1" w:themeFillShade="F2"/>
            <w:tcMar>
              <w:top w:w="113" w:type="dxa"/>
              <w:left w:w="113" w:type="dxa"/>
              <w:bottom w:w="113" w:type="dxa"/>
              <w:right w:w="113" w:type="dxa"/>
            </w:tcMar>
            <w:vAlign w:val="center"/>
          </w:tcPr>
          <w:p w14:paraId="55933821" w14:textId="77777777" w:rsidR="003A257F" w:rsidRPr="003A257F" w:rsidRDefault="003A257F" w:rsidP="003A257F">
            <w:pPr>
              <w:pStyle w:val="CDIFigure-Table-BodyTextCentre"/>
            </w:pPr>
            <w:r w:rsidRPr="003A257F">
              <w:t>79</w:t>
            </w:r>
          </w:p>
        </w:tc>
        <w:tc>
          <w:tcPr>
            <w:tcW w:w="1190" w:type="dxa"/>
            <w:shd w:val="clear" w:color="auto" w:fill="F2F2F2" w:themeFill="background1" w:themeFillShade="F2"/>
            <w:tcMar>
              <w:top w:w="113" w:type="dxa"/>
              <w:left w:w="113" w:type="dxa"/>
              <w:bottom w:w="113" w:type="dxa"/>
              <w:right w:w="113" w:type="dxa"/>
            </w:tcMar>
            <w:vAlign w:val="center"/>
          </w:tcPr>
          <w:p w14:paraId="0BDD3FA1" w14:textId="77777777" w:rsidR="003A257F" w:rsidRPr="003A257F" w:rsidRDefault="003A257F" w:rsidP="003A257F">
            <w:pPr>
              <w:pStyle w:val="CDIFigure-Table-BodyTextCentre"/>
            </w:pPr>
            <w:r w:rsidRPr="003A257F">
              <w:t>-26%</w:t>
            </w:r>
          </w:p>
        </w:tc>
        <w:tc>
          <w:tcPr>
            <w:tcW w:w="1191" w:type="dxa"/>
            <w:shd w:val="clear" w:color="auto" w:fill="F2F2F2" w:themeFill="background1" w:themeFillShade="F2"/>
            <w:tcMar>
              <w:top w:w="113" w:type="dxa"/>
              <w:left w:w="113" w:type="dxa"/>
              <w:bottom w:w="113" w:type="dxa"/>
              <w:right w:w="113" w:type="dxa"/>
            </w:tcMar>
            <w:vAlign w:val="center"/>
          </w:tcPr>
          <w:p w14:paraId="41DEBDB5" w14:textId="77777777" w:rsidR="003A257F" w:rsidRPr="003A257F" w:rsidRDefault="003A257F" w:rsidP="003A257F">
            <w:pPr>
              <w:pStyle w:val="CDIFigure-Table-BodyTextCentre"/>
            </w:pPr>
            <w:r w:rsidRPr="003A257F">
              <w:t>-21%</w:t>
            </w:r>
          </w:p>
        </w:tc>
        <w:tc>
          <w:tcPr>
            <w:tcW w:w="1190" w:type="dxa"/>
            <w:shd w:val="clear" w:color="auto" w:fill="F2F2F2" w:themeFill="background1" w:themeFillShade="F2"/>
            <w:tcMar>
              <w:top w:w="113" w:type="dxa"/>
              <w:left w:w="113" w:type="dxa"/>
              <w:bottom w:w="113" w:type="dxa"/>
              <w:right w:w="113" w:type="dxa"/>
            </w:tcMar>
            <w:vAlign w:val="center"/>
          </w:tcPr>
          <w:p w14:paraId="1920A7C4" w14:textId="77777777" w:rsidR="003A257F" w:rsidRPr="003A257F" w:rsidRDefault="003A257F" w:rsidP="003A257F">
            <w:pPr>
              <w:pStyle w:val="CDIFigure-Table-BodyTextCentre"/>
            </w:pPr>
            <w:r w:rsidRPr="003A257F">
              <w:t>-52%</w:t>
            </w:r>
          </w:p>
        </w:tc>
        <w:tc>
          <w:tcPr>
            <w:tcW w:w="1134" w:type="dxa"/>
            <w:shd w:val="clear" w:color="auto" w:fill="F2F2F2" w:themeFill="background1" w:themeFillShade="F2"/>
            <w:tcMar>
              <w:top w:w="113" w:type="dxa"/>
              <w:left w:w="113" w:type="dxa"/>
              <w:bottom w:w="113" w:type="dxa"/>
              <w:right w:w="113" w:type="dxa"/>
            </w:tcMar>
            <w:vAlign w:val="center"/>
          </w:tcPr>
          <w:p w14:paraId="14D0C9F8" w14:textId="77777777" w:rsidR="003A257F" w:rsidRPr="003A257F" w:rsidRDefault="003A257F" w:rsidP="003A257F">
            <w:pPr>
              <w:pStyle w:val="CDIFigure-Table-BodyTextCentre"/>
            </w:pPr>
            <w:r w:rsidRPr="003A257F">
              <w:t>-49%</w:t>
            </w:r>
          </w:p>
        </w:tc>
      </w:tr>
      <w:tr w:rsidR="003A257F" w:rsidRPr="003A257F" w14:paraId="0E8F29CA"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59B0C68F" w14:textId="77777777" w:rsidR="003A257F" w:rsidRPr="003A257F" w:rsidRDefault="003A257F" w:rsidP="003A257F">
            <w:pPr>
              <w:pStyle w:val="CDIFigure-Table-BodyTextLeft"/>
            </w:pPr>
          </w:p>
        </w:tc>
        <w:tc>
          <w:tcPr>
            <w:tcW w:w="3345" w:type="dxa"/>
            <w:tcMar>
              <w:top w:w="113" w:type="dxa"/>
              <w:left w:w="113" w:type="dxa"/>
              <w:bottom w:w="113" w:type="dxa"/>
              <w:right w:w="113" w:type="dxa"/>
            </w:tcMar>
            <w:vAlign w:val="center"/>
          </w:tcPr>
          <w:p w14:paraId="6DBE4140" w14:textId="77777777" w:rsidR="003A257F" w:rsidRPr="003A257F" w:rsidRDefault="003A257F" w:rsidP="003A257F">
            <w:pPr>
              <w:pStyle w:val="CDIFigure-Table-BodyTextLeft"/>
            </w:pPr>
            <w:r w:rsidRPr="003A257F">
              <w:t>Hepatitis B (unspecified)</w:t>
            </w:r>
          </w:p>
        </w:tc>
        <w:tc>
          <w:tcPr>
            <w:tcW w:w="1190" w:type="dxa"/>
            <w:tcMar>
              <w:top w:w="113" w:type="dxa"/>
              <w:left w:w="113" w:type="dxa"/>
              <w:bottom w:w="113" w:type="dxa"/>
              <w:right w:w="113" w:type="dxa"/>
            </w:tcMar>
            <w:vAlign w:val="center"/>
          </w:tcPr>
          <w:p w14:paraId="36DA2445" w14:textId="77777777" w:rsidR="003A257F" w:rsidRPr="003A257F" w:rsidRDefault="003A257F" w:rsidP="003A257F">
            <w:pPr>
              <w:pStyle w:val="CDIFigure-Table-BodyTextCentre"/>
            </w:pPr>
            <w:r w:rsidRPr="003A257F">
              <w:t>5,636</w:t>
            </w:r>
          </w:p>
        </w:tc>
        <w:tc>
          <w:tcPr>
            <w:tcW w:w="1248" w:type="dxa"/>
            <w:tcMar>
              <w:top w:w="113" w:type="dxa"/>
              <w:left w:w="113" w:type="dxa"/>
              <w:bottom w:w="113" w:type="dxa"/>
              <w:right w:w="113" w:type="dxa"/>
            </w:tcMar>
            <w:vAlign w:val="center"/>
          </w:tcPr>
          <w:p w14:paraId="69AE33D2" w14:textId="77777777" w:rsidR="003A257F" w:rsidRPr="003A257F" w:rsidRDefault="003A257F" w:rsidP="003A257F">
            <w:pPr>
              <w:pStyle w:val="CDIFigure-Table-BodyTextCentre"/>
            </w:pPr>
            <w:r w:rsidRPr="003A257F">
              <w:t>5,921</w:t>
            </w:r>
          </w:p>
        </w:tc>
        <w:tc>
          <w:tcPr>
            <w:tcW w:w="1190" w:type="dxa"/>
            <w:tcMar>
              <w:top w:w="113" w:type="dxa"/>
              <w:left w:w="113" w:type="dxa"/>
              <w:bottom w:w="113" w:type="dxa"/>
              <w:right w:w="113" w:type="dxa"/>
            </w:tcMar>
            <w:vAlign w:val="center"/>
          </w:tcPr>
          <w:p w14:paraId="5B06E770" w14:textId="77777777" w:rsidR="003A257F" w:rsidRPr="003A257F" w:rsidRDefault="003A257F" w:rsidP="003A257F">
            <w:pPr>
              <w:pStyle w:val="CDIFigure-Table-BodyTextCentre"/>
            </w:pPr>
            <w:r w:rsidRPr="003A257F">
              <w:t>4,976</w:t>
            </w:r>
          </w:p>
        </w:tc>
        <w:tc>
          <w:tcPr>
            <w:tcW w:w="1191" w:type="dxa"/>
            <w:tcMar>
              <w:top w:w="113" w:type="dxa"/>
              <w:left w:w="113" w:type="dxa"/>
              <w:bottom w:w="113" w:type="dxa"/>
              <w:right w:w="113" w:type="dxa"/>
            </w:tcMar>
            <w:vAlign w:val="center"/>
          </w:tcPr>
          <w:p w14:paraId="32E99FF6" w14:textId="77777777" w:rsidR="003A257F" w:rsidRPr="003A257F" w:rsidRDefault="003A257F" w:rsidP="003A257F">
            <w:pPr>
              <w:pStyle w:val="CDIFigure-Table-BodyTextCentre"/>
            </w:pPr>
            <w:r w:rsidRPr="003A257F">
              <w:t>4,917</w:t>
            </w:r>
          </w:p>
        </w:tc>
        <w:tc>
          <w:tcPr>
            <w:tcW w:w="1190" w:type="dxa"/>
            <w:tcMar>
              <w:top w:w="113" w:type="dxa"/>
              <w:left w:w="113" w:type="dxa"/>
              <w:bottom w:w="113" w:type="dxa"/>
              <w:right w:w="113" w:type="dxa"/>
            </w:tcMar>
            <w:vAlign w:val="center"/>
          </w:tcPr>
          <w:p w14:paraId="47AA65E7" w14:textId="77777777" w:rsidR="003A257F" w:rsidRPr="003A257F" w:rsidRDefault="003A257F" w:rsidP="003A257F">
            <w:pPr>
              <w:pStyle w:val="CDIFigure-Table-BodyTextCentre"/>
            </w:pPr>
            <w:r w:rsidRPr="003A257F">
              <w:t>-12%</w:t>
            </w:r>
          </w:p>
        </w:tc>
        <w:tc>
          <w:tcPr>
            <w:tcW w:w="1191" w:type="dxa"/>
            <w:tcMar>
              <w:top w:w="113" w:type="dxa"/>
              <w:left w:w="113" w:type="dxa"/>
              <w:bottom w:w="113" w:type="dxa"/>
              <w:right w:w="113" w:type="dxa"/>
            </w:tcMar>
            <w:vAlign w:val="center"/>
          </w:tcPr>
          <w:p w14:paraId="6F1417F8" w14:textId="77777777" w:rsidR="003A257F" w:rsidRPr="003A257F" w:rsidRDefault="003A257F" w:rsidP="003A257F">
            <w:pPr>
              <w:pStyle w:val="CDIFigure-Table-BodyTextCentre"/>
            </w:pPr>
            <w:r w:rsidRPr="003A257F">
              <w:t>-16%</w:t>
            </w:r>
          </w:p>
        </w:tc>
        <w:tc>
          <w:tcPr>
            <w:tcW w:w="1190" w:type="dxa"/>
            <w:tcMar>
              <w:top w:w="113" w:type="dxa"/>
              <w:left w:w="113" w:type="dxa"/>
              <w:bottom w:w="113" w:type="dxa"/>
              <w:right w:w="113" w:type="dxa"/>
            </w:tcMar>
            <w:vAlign w:val="center"/>
          </w:tcPr>
          <w:p w14:paraId="70E8891D" w14:textId="77777777" w:rsidR="003A257F" w:rsidRPr="003A257F" w:rsidRDefault="003A257F" w:rsidP="003A257F">
            <w:pPr>
              <w:pStyle w:val="CDIFigure-Table-BodyTextCentre"/>
            </w:pPr>
            <w:r w:rsidRPr="003A257F">
              <w:t>-13%</w:t>
            </w:r>
          </w:p>
        </w:tc>
        <w:tc>
          <w:tcPr>
            <w:tcW w:w="1134" w:type="dxa"/>
            <w:tcMar>
              <w:top w:w="113" w:type="dxa"/>
              <w:left w:w="113" w:type="dxa"/>
              <w:bottom w:w="113" w:type="dxa"/>
              <w:right w:w="113" w:type="dxa"/>
            </w:tcMar>
            <w:vAlign w:val="center"/>
          </w:tcPr>
          <w:p w14:paraId="23E11FD6" w14:textId="77777777" w:rsidR="003A257F" w:rsidRPr="003A257F" w:rsidRDefault="003A257F" w:rsidP="003A257F">
            <w:pPr>
              <w:pStyle w:val="CDIFigure-Table-BodyTextCentre"/>
            </w:pPr>
            <w:r w:rsidRPr="003A257F">
              <w:t>-17%</w:t>
            </w:r>
          </w:p>
        </w:tc>
      </w:tr>
      <w:tr w:rsidR="001E6632" w:rsidRPr="003A257F" w14:paraId="51EDF9A8"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2542E414" w14:textId="77777777" w:rsidR="003A257F" w:rsidRPr="003A257F" w:rsidRDefault="003A257F" w:rsidP="003A257F">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1234A7DD" w14:textId="77777777" w:rsidR="003A257F" w:rsidRPr="003A257F" w:rsidRDefault="003A257F" w:rsidP="003A257F">
            <w:pPr>
              <w:pStyle w:val="CDIFigure-Table-BodyTextLeft"/>
            </w:pPr>
            <w:r w:rsidRPr="003A257F">
              <w:t>Hepatitis C (newly acquired)</w:t>
            </w:r>
          </w:p>
        </w:tc>
        <w:tc>
          <w:tcPr>
            <w:tcW w:w="1190" w:type="dxa"/>
            <w:shd w:val="clear" w:color="auto" w:fill="F2F2F2" w:themeFill="background1" w:themeFillShade="F2"/>
            <w:tcMar>
              <w:top w:w="113" w:type="dxa"/>
              <w:left w:w="113" w:type="dxa"/>
              <w:bottom w:w="113" w:type="dxa"/>
              <w:right w:w="113" w:type="dxa"/>
            </w:tcMar>
            <w:vAlign w:val="center"/>
          </w:tcPr>
          <w:p w14:paraId="09187F89" w14:textId="77777777" w:rsidR="003A257F" w:rsidRPr="003A257F" w:rsidRDefault="003A257F" w:rsidP="003A257F">
            <w:pPr>
              <w:pStyle w:val="CDIFigure-Table-BodyTextCentre"/>
            </w:pPr>
            <w:r w:rsidRPr="003A257F">
              <w:t>793</w:t>
            </w:r>
          </w:p>
        </w:tc>
        <w:tc>
          <w:tcPr>
            <w:tcW w:w="1248" w:type="dxa"/>
            <w:shd w:val="clear" w:color="auto" w:fill="F2F2F2" w:themeFill="background1" w:themeFillShade="F2"/>
            <w:tcMar>
              <w:top w:w="113" w:type="dxa"/>
              <w:left w:w="113" w:type="dxa"/>
              <w:bottom w:w="113" w:type="dxa"/>
              <w:right w:w="113" w:type="dxa"/>
            </w:tcMar>
            <w:vAlign w:val="center"/>
          </w:tcPr>
          <w:p w14:paraId="0BE171BB" w14:textId="77777777" w:rsidR="003A257F" w:rsidRPr="003A257F" w:rsidRDefault="003A257F" w:rsidP="003A257F">
            <w:pPr>
              <w:pStyle w:val="CDIFigure-Table-BodyTextCentre"/>
            </w:pPr>
            <w:r w:rsidRPr="003A257F">
              <w:t>717</w:t>
            </w:r>
          </w:p>
        </w:tc>
        <w:tc>
          <w:tcPr>
            <w:tcW w:w="1190" w:type="dxa"/>
            <w:shd w:val="clear" w:color="auto" w:fill="F2F2F2" w:themeFill="background1" w:themeFillShade="F2"/>
            <w:tcMar>
              <w:top w:w="113" w:type="dxa"/>
              <w:left w:w="113" w:type="dxa"/>
              <w:bottom w:w="113" w:type="dxa"/>
              <w:right w:w="113" w:type="dxa"/>
            </w:tcMar>
            <w:vAlign w:val="center"/>
          </w:tcPr>
          <w:p w14:paraId="62D4C6EF" w14:textId="77777777" w:rsidR="003A257F" w:rsidRPr="003A257F" w:rsidRDefault="003A257F" w:rsidP="003A257F">
            <w:pPr>
              <w:pStyle w:val="CDIFigure-Table-BodyTextCentre"/>
            </w:pPr>
            <w:r w:rsidRPr="003A257F">
              <w:t>676</w:t>
            </w:r>
          </w:p>
        </w:tc>
        <w:tc>
          <w:tcPr>
            <w:tcW w:w="1191" w:type="dxa"/>
            <w:shd w:val="clear" w:color="auto" w:fill="F2F2F2" w:themeFill="background1" w:themeFillShade="F2"/>
            <w:tcMar>
              <w:top w:w="113" w:type="dxa"/>
              <w:left w:w="113" w:type="dxa"/>
              <w:bottom w:w="113" w:type="dxa"/>
              <w:right w:w="113" w:type="dxa"/>
            </w:tcMar>
            <w:vAlign w:val="center"/>
          </w:tcPr>
          <w:p w14:paraId="17E09AEA" w14:textId="77777777" w:rsidR="003A257F" w:rsidRPr="003A257F" w:rsidRDefault="003A257F" w:rsidP="003A257F">
            <w:pPr>
              <w:pStyle w:val="CDIFigure-Table-BodyTextCentre"/>
            </w:pPr>
            <w:r w:rsidRPr="003A257F">
              <w:t>726</w:t>
            </w:r>
          </w:p>
        </w:tc>
        <w:tc>
          <w:tcPr>
            <w:tcW w:w="1190" w:type="dxa"/>
            <w:shd w:val="clear" w:color="auto" w:fill="F2F2F2" w:themeFill="background1" w:themeFillShade="F2"/>
            <w:tcMar>
              <w:top w:w="113" w:type="dxa"/>
              <w:left w:w="113" w:type="dxa"/>
              <w:bottom w:w="113" w:type="dxa"/>
              <w:right w:w="113" w:type="dxa"/>
            </w:tcMar>
            <w:vAlign w:val="center"/>
          </w:tcPr>
          <w:p w14:paraId="1EA3BF8D" w14:textId="77777777" w:rsidR="003A257F" w:rsidRPr="003A257F" w:rsidRDefault="003A257F" w:rsidP="003A257F">
            <w:pPr>
              <w:pStyle w:val="CDIFigure-Table-BodyTextCentre"/>
            </w:pPr>
            <w:r w:rsidRPr="003A257F">
              <w:t>-15%</w:t>
            </w:r>
          </w:p>
        </w:tc>
        <w:tc>
          <w:tcPr>
            <w:tcW w:w="1191" w:type="dxa"/>
            <w:shd w:val="clear" w:color="auto" w:fill="F2F2F2" w:themeFill="background1" w:themeFillShade="F2"/>
            <w:tcMar>
              <w:top w:w="113" w:type="dxa"/>
              <w:left w:w="113" w:type="dxa"/>
              <w:bottom w:w="113" w:type="dxa"/>
              <w:right w:w="113" w:type="dxa"/>
            </w:tcMar>
            <w:vAlign w:val="center"/>
          </w:tcPr>
          <w:p w14:paraId="0AF85513" w14:textId="77777777" w:rsidR="003A257F" w:rsidRPr="003A257F" w:rsidRDefault="003A257F" w:rsidP="003A257F">
            <w:pPr>
              <w:pStyle w:val="CDIFigure-Table-BodyTextCentre"/>
            </w:pPr>
            <w:r w:rsidRPr="003A257F">
              <w:t>-6%</w:t>
            </w:r>
          </w:p>
        </w:tc>
        <w:tc>
          <w:tcPr>
            <w:tcW w:w="1190" w:type="dxa"/>
            <w:shd w:val="clear" w:color="auto" w:fill="F2F2F2" w:themeFill="background1" w:themeFillShade="F2"/>
            <w:tcMar>
              <w:top w:w="113" w:type="dxa"/>
              <w:left w:w="113" w:type="dxa"/>
              <w:bottom w:w="113" w:type="dxa"/>
              <w:right w:w="113" w:type="dxa"/>
            </w:tcMar>
            <w:vAlign w:val="center"/>
          </w:tcPr>
          <w:p w14:paraId="73E46D00" w14:textId="77777777" w:rsidR="003A257F" w:rsidRPr="003A257F" w:rsidRDefault="003A257F" w:rsidP="003A257F">
            <w:pPr>
              <w:pStyle w:val="CDIFigure-Table-BodyTextCentre"/>
            </w:pPr>
            <w:r w:rsidRPr="003A257F">
              <w:t>-8%</w:t>
            </w:r>
          </w:p>
        </w:tc>
        <w:tc>
          <w:tcPr>
            <w:tcW w:w="1134" w:type="dxa"/>
            <w:shd w:val="clear" w:color="auto" w:fill="F2F2F2" w:themeFill="background1" w:themeFillShade="F2"/>
            <w:tcMar>
              <w:top w:w="113" w:type="dxa"/>
              <w:left w:w="113" w:type="dxa"/>
              <w:bottom w:w="113" w:type="dxa"/>
              <w:right w:w="113" w:type="dxa"/>
            </w:tcMar>
            <w:vAlign w:val="center"/>
          </w:tcPr>
          <w:p w14:paraId="1D36948F" w14:textId="77777777" w:rsidR="003A257F" w:rsidRPr="003A257F" w:rsidRDefault="003A257F" w:rsidP="003A257F">
            <w:pPr>
              <w:pStyle w:val="CDIFigure-Table-BodyTextCentre"/>
            </w:pPr>
            <w:r w:rsidRPr="003A257F">
              <w:t>1%</w:t>
            </w:r>
          </w:p>
        </w:tc>
      </w:tr>
      <w:tr w:rsidR="003A257F" w:rsidRPr="003A257F" w14:paraId="011B46ED"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318F755A" w14:textId="77777777" w:rsidR="003A257F" w:rsidRPr="003A257F" w:rsidRDefault="003A257F" w:rsidP="003A257F">
            <w:pPr>
              <w:pStyle w:val="CDIFigure-Table-BodyTextLeft"/>
            </w:pPr>
          </w:p>
        </w:tc>
        <w:tc>
          <w:tcPr>
            <w:tcW w:w="3345" w:type="dxa"/>
            <w:tcMar>
              <w:top w:w="113" w:type="dxa"/>
              <w:left w:w="113" w:type="dxa"/>
              <w:bottom w:w="113" w:type="dxa"/>
              <w:right w:w="113" w:type="dxa"/>
            </w:tcMar>
            <w:vAlign w:val="center"/>
          </w:tcPr>
          <w:p w14:paraId="6795D6EF" w14:textId="77777777" w:rsidR="003A257F" w:rsidRPr="003A257F" w:rsidRDefault="003A257F" w:rsidP="003A257F">
            <w:pPr>
              <w:pStyle w:val="CDIFigure-Table-BodyTextLeft"/>
            </w:pPr>
            <w:r w:rsidRPr="003A257F">
              <w:t>Hepatitis C (unspecified)</w:t>
            </w:r>
          </w:p>
        </w:tc>
        <w:tc>
          <w:tcPr>
            <w:tcW w:w="1190" w:type="dxa"/>
            <w:tcMar>
              <w:top w:w="113" w:type="dxa"/>
              <w:left w:w="113" w:type="dxa"/>
              <w:bottom w:w="113" w:type="dxa"/>
              <w:right w:w="113" w:type="dxa"/>
            </w:tcMar>
            <w:vAlign w:val="center"/>
          </w:tcPr>
          <w:p w14:paraId="7A637579" w14:textId="77777777" w:rsidR="003A257F" w:rsidRPr="003A257F" w:rsidRDefault="003A257F" w:rsidP="003A257F">
            <w:pPr>
              <w:pStyle w:val="CDIFigure-Table-BodyTextCentre"/>
            </w:pPr>
            <w:r w:rsidRPr="003A257F">
              <w:t>8,390</w:t>
            </w:r>
          </w:p>
        </w:tc>
        <w:tc>
          <w:tcPr>
            <w:tcW w:w="1248" w:type="dxa"/>
            <w:tcMar>
              <w:top w:w="113" w:type="dxa"/>
              <w:left w:w="113" w:type="dxa"/>
              <w:bottom w:w="113" w:type="dxa"/>
              <w:right w:w="113" w:type="dxa"/>
            </w:tcMar>
            <w:vAlign w:val="center"/>
          </w:tcPr>
          <w:p w14:paraId="549E9D50" w14:textId="77777777" w:rsidR="003A257F" w:rsidRPr="003A257F" w:rsidRDefault="003A257F" w:rsidP="003A257F">
            <w:pPr>
              <w:pStyle w:val="CDIFigure-Table-BodyTextCentre"/>
            </w:pPr>
            <w:r w:rsidRPr="003A257F">
              <w:t>9,799</w:t>
            </w:r>
          </w:p>
        </w:tc>
        <w:tc>
          <w:tcPr>
            <w:tcW w:w="1190" w:type="dxa"/>
            <w:tcMar>
              <w:top w:w="113" w:type="dxa"/>
              <w:left w:w="113" w:type="dxa"/>
              <w:bottom w:w="113" w:type="dxa"/>
              <w:right w:w="113" w:type="dxa"/>
            </w:tcMar>
            <w:vAlign w:val="center"/>
          </w:tcPr>
          <w:p w14:paraId="6405F7BA" w14:textId="77777777" w:rsidR="003A257F" w:rsidRPr="003A257F" w:rsidRDefault="003A257F" w:rsidP="003A257F">
            <w:pPr>
              <w:pStyle w:val="CDIFigure-Table-BodyTextCentre"/>
            </w:pPr>
            <w:r w:rsidRPr="003A257F">
              <w:t>7,331</w:t>
            </w:r>
          </w:p>
        </w:tc>
        <w:tc>
          <w:tcPr>
            <w:tcW w:w="1191" w:type="dxa"/>
            <w:tcMar>
              <w:top w:w="113" w:type="dxa"/>
              <w:left w:w="113" w:type="dxa"/>
              <w:bottom w:w="113" w:type="dxa"/>
              <w:right w:w="113" w:type="dxa"/>
            </w:tcMar>
            <w:vAlign w:val="center"/>
          </w:tcPr>
          <w:p w14:paraId="53FD8977" w14:textId="77777777" w:rsidR="003A257F" w:rsidRPr="003A257F" w:rsidRDefault="003A257F" w:rsidP="003A257F">
            <w:pPr>
              <w:pStyle w:val="CDIFigure-Table-BodyTextCentre"/>
            </w:pPr>
            <w:r w:rsidRPr="003A257F">
              <w:t>6,917</w:t>
            </w:r>
          </w:p>
        </w:tc>
        <w:tc>
          <w:tcPr>
            <w:tcW w:w="1190" w:type="dxa"/>
            <w:tcMar>
              <w:top w:w="113" w:type="dxa"/>
              <w:left w:w="113" w:type="dxa"/>
              <w:bottom w:w="113" w:type="dxa"/>
              <w:right w:w="113" w:type="dxa"/>
            </w:tcMar>
            <w:vAlign w:val="center"/>
          </w:tcPr>
          <w:p w14:paraId="408F6D7A" w14:textId="77777777" w:rsidR="003A257F" w:rsidRPr="003A257F" w:rsidRDefault="003A257F" w:rsidP="003A257F">
            <w:pPr>
              <w:pStyle w:val="CDIFigure-Table-BodyTextCentre"/>
            </w:pPr>
            <w:r w:rsidRPr="003A257F">
              <w:t>-13%</w:t>
            </w:r>
          </w:p>
        </w:tc>
        <w:tc>
          <w:tcPr>
            <w:tcW w:w="1191" w:type="dxa"/>
            <w:tcMar>
              <w:top w:w="113" w:type="dxa"/>
              <w:left w:w="113" w:type="dxa"/>
              <w:bottom w:w="113" w:type="dxa"/>
              <w:right w:w="113" w:type="dxa"/>
            </w:tcMar>
            <w:vAlign w:val="center"/>
          </w:tcPr>
          <w:p w14:paraId="5967B397" w14:textId="77777777" w:rsidR="003A257F" w:rsidRPr="003A257F" w:rsidRDefault="003A257F" w:rsidP="003A257F">
            <w:pPr>
              <w:pStyle w:val="CDIFigure-Table-BodyTextCentre"/>
            </w:pPr>
            <w:r w:rsidRPr="003A257F">
              <w:t>-25%</w:t>
            </w:r>
          </w:p>
        </w:tc>
        <w:tc>
          <w:tcPr>
            <w:tcW w:w="1190" w:type="dxa"/>
            <w:tcMar>
              <w:top w:w="113" w:type="dxa"/>
              <w:left w:w="113" w:type="dxa"/>
              <w:bottom w:w="113" w:type="dxa"/>
              <w:right w:w="113" w:type="dxa"/>
            </w:tcMar>
            <w:vAlign w:val="center"/>
          </w:tcPr>
          <w:p w14:paraId="7A6192A0" w14:textId="77777777" w:rsidR="003A257F" w:rsidRPr="003A257F" w:rsidRDefault="003A257F" w:rsidP="003A257F">
            <w:pPr>
              <w:pStyle w:val="CDIFigure-Table-BodyTextCentre"/>
            </w:pPr>
            <w:r w:rsidRPr="003A257F">
              <w:t>-18%</w:t>
            </w:r>
          </w:p>
        </w:tc>
        <w:tc>
          <w:tcPr>
            <w:tcW w:w="1134" w:type="dxa"/>
            <w:tcMar>
              <w:top w:w="113" w:type="dxa"/>
              <w:left w:w="113" w:type="dxa"/>
              <w:bottom w:w="113" w:type="dxa"/>
              <w:right w:w="113" w:type="dxa"/>
            </w:tcMar>
            <w:vAlign w:val="center"/>
          </w:tcPr>
          <w:p w14:paraId="0C42FE1D" w14:textId="77777777" w:rsidR="003A257F" w:rsidRPr="003A257F" w:rsidRDefault="003A257F" w:rsidP="003A257F">
            <w:pPr>
              <w:pStyle w:val="CDIFigure-Table-BodyTextCentre"/>
            </w:pPr>
            <w:r w:rsidRPr="003A257F">
              <w:t>-29%</w:t>
            </w:r>
          </w:p>
        </w:tc>
      </w:tr>
      <w:tr w:rsidR="001E6632" w:rsidRPr="003A257F" w14:paraId="388DA756" w14:textId="77777777" w:rsidTr="003E1D2E">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0E7CA1E8" w14:textId="77777777" w:rsidR="003A257F" w:rsidRPr="003A257F" w:rsidRDefault="003A257F" w:rsidP="003A257F">
            <w:pPr>
              <w:pStyle w:val="CDIFigure-Table-BodyTextLeft"/>
            </w:pPr>
          </w:p>
        </w:tc>
        <w:tc>
          <w:tcPr>
            <w:tcW w:w="33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5BF069" w14:textId="77777777" w:rsidR="003A257F" w:rsidRPr="003A257F" w:rsidRDefault="003A257F" w:rsidP="003A257F">
            <w:pPr>
              <w:pStyle w:val="CDIFigure-Table-BodyTextLeft"/>
            </w:pPr>
            <w:r w:rsidRPr="003A257F">
              <w:t>Hepatitis D</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22DB28" w14:textId="77777777" w:rsidR="003A257F" w:rsidRPr="003A257F" w:rsidRDefault="003A257F" w:rsidP="003A257F">
            <w:pPr>
              <w:pStyle w:val="CDIFigure-Table-BodyTextCentre"/>
            </w:pPr>
            <w:r w:rsidRPr="003A257F">
              <w:t>68</w:t>
            </w:r>
          </w:p>
        </w:tc>
        <w:tc>
          <w:tcPr>
            <w:tcW w:w="124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3E31A6" w14:textId="77777777" w:rsidR="003A257F" w:rsidRPr="003A257F" w:rsidRDefault="003A257F" w:rsidP="003A257F">
            <w:pPr>
              <w:pStyle w:val="CDIFigure-Table-BodyTextCentre"/>
            </w:pPr>
            <w:r w:rsidRPr="003A257F">
              <w:t>66</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0375E9" w14:textId="77777777" w:rsidR="003A257F" w:rsidRPr="003A257F" w:rsidRDefault="003A257F" w:rsidP="003A257F">
            <w:pPr>
              <w:pStyle w:val="CDIFigure-Table-BodyTextCentre"/>
            </w:pPr>
            <w:r w:rsidRPr="003A257F">
              <w:t>70</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CF45DB" w14:textId="77777777" w:rsidR="003A257F" w:rsidRPr="003A257F" w:rsidRDefault="003A257F" w:rsidP="003A257F">
            <w:pPr>
              <w:pStyle w:val="CDIFigure-Table-BodyTextCentre"/>
            </w:pPr>
            <w:r w:rsidRPr="003A257F">
              <w:t>85</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B7D713" w14:textId="77777777" w:rsidR="003A257F" w:rsidRPr="003A257F" w:rsidRDefault="003A257F" w:rsidP="003A257F">
            <w:pPr>
              <w:pStyle w:val="CDIFigure-Table-BodyTextCentre"/>
            </w:pPr>
            <w:r w:rsidRPr="003A257F">
              <w:t>3%</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C2B8AF" w14:textId="77777777" w:rsidR="003A257F" w:rsidRPr="003A257F" w:rsidRDefault="003A257F" w:rsidP="003A257F">
            <w:pPr>
              <w:pStyle w:val="CDIFigure-Table-BodyTextCentre"/>
            </w:pPr>
            <w:r w:rsidRPr="003A257F">
              <w:t>5%</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34080A" w14:textId="77777777" w:rsidR="003A257F" w:rsidRPr="003A257F" w:rsidRDefault="003A257F" w:rsidP="003A257F">
            <w:pPr>
              <w:pStyle w:val="CDIFigure-Table-BodyTextCentre"/>
            </w:pPr>
            <w:r w:rsidRPr="003A257F">
              <w:t>25%</w:t>
            </w:r>
          </w:p>
        </w:tc>
        <w:tc>
          <w:tcPr>
            <w:tcW w:w="113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2521C6" w14:textId="77777777" w:rsidR="003A257F" w:rsidRPr="003A257F" w:rsidRDefault="003A257F" w:rsidP="003A257F">
            <w:pPr>
              <w:pStyle w:val="CDIFigure-Table-BodyTextCentre"/>
            </w:pPr>
            <w:r w:rsidRPr="003A257F">
              <w:t>28%</w:t>
            </w:r>
          </w:p>
        </w:tc>
      </w:tr>
      <w:tr w:rsidR="003A257F" w:rsidRPr="003A257F" w14:paraId="21D3AF89" w14:textId="77777777" w:rsidTr="003E1D2E">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D595234" w14:textId="77777777" w:rsidR="003A257F" w:rsidRPr="003A257F" w:rsidRDefault="003A257F" w:rsidP="003A257F">
            <w:pPr>
              <w:pStyle w:val="CDIFigure-Table-BodyTextLeft"/>
            </w:pPr>
            <w:r w:rsidRPr="003A257F">
              <w:t>Gastrointestinal diseases</w:t>
            </w:r>
          </w:p>
        </w:tc>
        <w:tc>
          <w:tcPr>
            <w:tcW w:w="3345" w:type="dxa"/>
            <w:tcBorders>
              <w:top w:val="single" w:sz="4" w:space="0" w:color="033636" w:themeColor="text2"/>
            </w:tcBorders>
            <w:tcMar>
              <w:top w:w="113" w:type="dxa"/>
              <w:left w:w="113" w:type="dxa"/>
              <w:bottom w:w="113" w:type="dxa"/>
              <w:right w:w="113" w:type="dxa"/>
            </w:tcMar>
            <w:vAlign w:val="center"/>
          </w:tcPr>
          <w:p w14:paraId="56B36510" w14:textId="77777777" w:rsidR="003A257F" w:rsidRPr="003A257F" w:rsidRDefault="003A257F" w:rsidP="003A257F">
            <w:pPr>
              <w:pStyle w:val="CDIFigure-Table-BodyTextLeft"/>
            </w:pPr>
            <w:r w:rsidRPr="003A257F">
              <w:t>Botulism</w:t>
            </w:r>
          </w:p>
        </w:tc>
        <w:tc>
          <w:tcPr>
            <w:tcW w:w="1190" w:type="dxa"/>
            <w:tcBorders>
              <w:top w:val="single" w:sz="4" w:space="0" w:color="033636" w:themeColor="text2"/>
            </w:tcBorders>
            <w:tcMar>
              <w:top w:w="113" w:type="dxa"/>
              <w:left w:w="113" w:type="dxa"/>
              <w:bottom w:w="113" w:type="dxa"/>
              <w:right w:w="113" w:type="dxa"/>
            </w:tcMar>
            <w:vAlign w:val="center"/>
          </w:tcPr>
          <w:p w14:paraId="3B38FE4A" w14:textId="77777777" w:rsidR="003A257F" w:rsidRPr="003A257F" w:rsidRDefault="003A257F" w:rsidP="003A257F">
            <w:pPr>
              <w:pStyle w:val="CDIFigure-Table-BodyTextCentre"/>
            </w:pPr>
            <w:r w:rsidRPr="003A257F">
              <w:t>2</w:t>
            </w:r>
          </w:p>
        </w:tc>
        <w:tc>
          <w:tcPr>
            <w:tcW w:w="1248" w:type="dxa"/>
            <w:tcBorders>
              <w:top w:val="single" w:sz="4" w:space="0" w:color="033636" w:themeColor="text2"/>
            </w:tcBorders>
            <w:tcMar>
              <w:top w:w="113" w:type="dxa"/>
              <w:left w:w="113" w:type="dxa"/>
              <w:bottom w:w="113" w:type="dxa"/>
              <w:right w:w="113" w:type="dxa"/>
            </w:tcMar>
            <w:vAlign w:val="center"/>
          </w:tcPr>
          <w:p w14:paraId="148030CE" w14:textId="77777777" w:rsidR="003A257F" w:rsidRPr="003A257F" w:rsidRDefault="003A257F" w:rsidP="003A257F">
            <w:pPr>
              <w:pStyle w:val="CDIFigure-Table-BodyTextCentre"/>
            </w:pPr>
            <w:r w:rsidRPr="003A257F">
              <w:t>1</w:t>
            </w:r>
          </w:p>
        </w:tc>
        <w:tc>
          <w:tcPr>
            <w:tcW w:w="1190" w:type="dxa"/>
            <w:tcBorders>
              <w:top w:val="single" w:sz="4" w:space="0" w:color="033636" w:themeColor="text2"/>
            </w:tcBorders>
            <w:tcMar>
              <w:top w:w="113" w:type="dxa"/>
              <w:left w:w="113" w:type="dxa"/>
              <w:bottom w:w="113" w:type="dxa"/>
              <w:right w:w="113" w:type="dxa"/>
            </w:tcMar>
            <w:vAlign w:val="center"/>
          </w:tcPr>
          <w:p w14:paraId="14DD1319" w14:textId="77777777" w:rsidR="003A257F" w:rsidRPr="003A257F" w:rsidRDefault="003A257F" w:rsidP="003A257F">
            <w:pPr>
              <w:pStyle w:val="CDIFigure-Table-BodyTextCentre"/>
            </w:pPr>
            <w:r w:rsidRPr="003A257F">
              <w:t>1</w:t>
            </w:r>
          </w:p>
        </w:tc>
        <w:tc>
          <w:tcPr>
            <w:tcW w:w="1191" w:type="dxa"/>
            <w:tcBorders>
              <w:top w:val="single" w:sz="4" w:space="0" w:color="033636" w:themeColor="text2"/>
            </w:tcBorders>
            <w:tcMar>
              <w:top w:w="113" w:type="dxa"/>
              <w:left w:w="113" w:type="dxa"/>
              <w:bottom w:w="113" w:type="dxa"/>
              <w:right w:w="113" w:type="dxa"/>
            </w:tcMar>
            <w:vAlign w:val="center"/>
          </w:tcPr>
          <w:p w14:paraId="00326BC5" w14:textId="77777777" w:rsidR="003A257F" w:rsidRPr="003A257F" w:rsidRDefault="003A257F" w:rsidP="003A257F">
            <w:pPr>
              <w:pStyle w:val="CDIFigure-Table-BodyTextCentre"/>
            </w:pPr>
            <w:r w:rsidRPr="003A257F">
              <w:t>5</w:t>
            </w:r>
          </w:p>
        </w:tc>
        <w:tc>
          <w:tcPr>
            <w:tcW w:w="1190" w:type="dxa"/>
            <w:tcBorders>
              <w:top w:val="single" w:sz="4" w:space="0" w:color="033636" w:themeColor="text2"/>
            </w:tcBorders>
            <w:tcMar>
              <w:top w:w="113" w:type="dxa"/>
              <w:left w:w="113" w:type="dxa"/>
              <w:bottom w:w="113" w:type="dxa"/>
              <w:right w:w="113" w:type="dxa"/>
            </w:tcMar>
            <w:vAlign w:val="center"/>
          </w:tcPr>
          <w:p w14:paraId="295D1532" w14:textId="77777777" w:rsidR="003A257F" w:rsidRPr="003A257F" w:rsidRDefault="003A257F" w:rsidP="003A257F">
            <w:pPr>
              <w:pStyle w:val="CDIFigure-Table-BodyTextCentre"/>
            </w:pPr>
            <w:r w:rsidRPr="003A257F">
              <w:t>-50%</w:t>
            </w:r>
          </w:p>
        </w:tc>
        <w:tc>
          <w:tcPr>
            <w:tcW w:w="1191" w:type="dxa"/>
            <w:tcBorders>
              <w:top w:val="single" w:sz="4" w:space="0" w:color="033636" w:themeColor="text2"/>
            </w:tcBorders>
            <w:tcMar>
              <w:top w:w="113" w:type="dxa"/>
              <w:left w:w="113" w:type="dxa"/>
              <w:bottom w:w="113" w:type="dxa"/>
              <w:right w:w="113" w:type="dxa"/>
            </w:tcMar>
            <w:vAlign w:val="center"/>
          </w:tcPr>
          <w:p w14:paraId="7302F495" w14:textId="77777777" w:rsidR="003A257F" w:rsidRPr="003A257F" w:rsidRDefault="003A257F" w:rsidP="003A257F">
            <w:pPr>
              <w:pStyle w:val="CDIFigure-Table-BodyTextCentre"/>
            </w:pPr>
            <w:r w:rsidRPr="003A257F">
              <w:t>-29%</w:t>
            </w:r>
          </w:p>
        </w:tc>
        <w:tc>
          <w:tcPr>
            <w:tcW w:w="1190" w:type="dxa"/>
            <w:tcBorders>
              <w:top w:val="single" w:sz="4" w:space="0" w:color="033636" w:themeColor="text2"/>
            </w:tcBorders>
            <w:tcMar>
              <w:top w:w="113" w:type="dxa"/>
              <w:left w:w="113" w:type="dxa"/>
              <w:bottom w:w="113" w:type="dxa"/>
              <w:right w:w="113" w:type="dxa"/>
            </w:tcMar>
            <w:vAlign w:val="center"/>
          </w:tcPr>
          <w:p w14:paraId="536DE30D" w14:textId="77777777" w:rsidR="003A257F" w:rsidRPr="003A257F" w:rsidRDefault="003A257F" w:rsidP="003A257F">
            <w:pPr>
              <w:pStyle w:val="CDIFigure-Table-BodyTextCentre"/>
            </w:pPr>
            <w:r w:rsidRPr="003A257F">
              <w:t>150%</w:t>
            </w:r>
          </w:p>
        </w:tc>
        <w:tc>
          <w:tcPr>
            <w:tcW w:w="1134" w:type="dxa"/>
            <w:tcBorders>
              <w:top w:val="single" w:sz="4" w:space="0" w:color="033636" w:themeColor="text2"/>
            </w:tcBorders>
            <w:tcMar>
              <w:top w:w="113" w:type="dxa"/>
              <w:left w:w="113" w:type="dxa"/>
              <w:bottom w:w="113" w:type="dxa"/>
              <w:right w:w="113" w:type="dxa"/>
            </w:tcMar>
            <w:vAlign w:val="center"/>
          </w:tcPr>
          <w:p w14:paraId="39AC4B5B" w14:textId="77777777" w:rsidR="003A257F" w:rsidRPr="003A257F" w:rsidRDefault="003A257F" w:rsidP="003A257F">
            <w:pPr>
              <w:pStyle w:val="CDIFigure-Table-BodyTextCentre"/>
            </w:pPr>
            <w:r w:rsidRPr="003A257F">
              <w:t>257%</w:t>
            </w:r>
          </w:p>
        </w:tc>
      </w:tr>
      <w:tr w:rsidR="001E6632" w:rsidRPr="003A257F" w14:paraId="438F848D" w14:textId="77777777" w:rsidTr="001223AA">
        <w:trPr>
          <w:divId w:val="935526654"/>
          <w:trHeight w:val="20"/>
        </w:trPr>
        <w:tc>
          <w:tcPr>
            <w:tcW w:w="1474" w:type="dxa"/>
            <w:vMerge/>
            <w:shd w:val="clear" w:color="auto" w:fill="C5FFEF" w:themeFill="background2" w:themeFillTint="33"/>
          </w:tcPr>
          <w:p w14:paraId="5101ED91" w14:textId="77777777" w:rsidR="003A257F" w:rsidRPr="003A257F" w:rsidRDefault="003A257F" w:rsidP="003A257F">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5203A280" w14:textId="77777777" w:rsidR="003A257F" w:rsidRPr="003A257F" w:rsidRDefault="003A257F" w:rsidP="003A257F">
            <w:pPr>
              <w:pStyle w:val="CDIFigure-Table-BodyTextLeft"/>
            </w:pPr>
            <w:r w:rsidRPr="003A257F">
              <w:t>Campylobacteriosis</w:t>
            </w:r>
            <w:r w:rsidRPr="001223AA">
              <w:rPr>
                <w:vertAlign w:val="superscript"/>
              </w:rPr>
              <w:t>b</w:t>
            </w:r>
          </w:p>
        </w:tc>
        <w:tc>
          <w:tcPr>
            <w:tcW w:w="1190" w:type="dxa"/>
            <w:shd w:val="clear" w:color="auto" w:fill="F2F2F2" w:themeFill="background1" w:themeFillShade="F2"/>
            <w:tcMar>
              <w:top w:w="113" w:type="dxa"/>
              <w:left w:w="113" w:type="dxa"/>
              <w:bottom w:w="113" w:type="dxa"/>
              <w:right w:w="113" w:type="dxa"/>
            </w:tcMar>
            <w:vAlign w:val="center"/>
          </w:tcPr>
          <w:p w14:paraId="707DE5A2" w14:textId="77777777" w:rsidR="003A257F" w:rsidRPr="003A257F" w:rsidRDefault="003A257F" w:rsidP="003A257F">
            <w:pPr>
              <w:pStyle w:val="CDIFigure-Table-BodyTextCentre"/>
            </w:pPr>
            <w:r w:rsidRPr="003A257F">
              <w:t>36,132</w:t>
            </w:r>
          </w:p>
        </w:tc>
        <w:tc>
          <w:tcPr>
            <w:tcW w:w="1248" w:type="dxa"/>
            <w:shd w:val="clear" w:color="auto" w:fill="F2F2F2" w:themeFill="background1" w:themeFillShade="F2"/>
            <w:tcMar>
              <w:top w:w="113" w:type="dxa"/>
              <w:left w:w="113" w:type="dxa"/>
              <w:bottom w:w="113" w:type="dxa"/>
              <w:right w:w="113" w:type="dxa"/>
            </w:tcMar>
            <w:vAlign w:val="center"/>
          </w:tcPr>
          <w:p w14:paraId="28DF6F97" w14:textId="77777777" w:rsidR="003A257F" w:rsidRPr="003A257F" w:rsidRDefault="003A257F" w:rsidP="003A257F">
            <w:pPr>
              <w:pStyle w:val="CDIFigure-Table-BodyTextCentre"/>
            </w:pPr>
            <w:r w:rsidRPr="003A257F">
              <w:t>28,953</w:t>
            </w:r>
          </w:p>
        </w:tc>
        <w:tc>
          <w:tcPr>
            <w:tcW w:w="1190" w:type="dxa"/>
            <w:shd w:val="clear" w:color="auto" w:fill="F2F2F2" w:themeFill="background1" w:themeFillShade="F2"/>
            <w:tcMar>
              <w:top w:w="113" w:type="dxa"/>
              <w:left w:w="113" w:type="dxa"/>
              <w:bottom w:w="113" w:type="dxa"/>
              <w:right w:w="113" w:type="dxa"/>
            </w:tcMar>
            <w:vAlign w:val="center"/>
          </w:tcPr>
          <w:p w14:paraId="1EC8B186" w14:textId="77777777" w:rsidR="003A257F" w:rsidRPr="003A257F" w:rsidRDefault="003A257F" w:rsidP="003A257F">
            <w:pPr>
              <w:pStyle w:val="CDIFigure-Table-BodyTextCentre"/>
            </w:pPr>
            <w:r w:rsidRPr="003A257F">
              <w:t>31,957</w:t>
            </w:r>
          </w:p>
        </w:tc>
        <w:tc>
          <w:tcPr>
            <w:tcW w:w="1191" w:type="dxa"/>
            <w:shd w:val="clear" w:color="auto" w:fill="F2F2F2" w:themeFill="background1" w:themeFillShade="F2"/>
            <w:tcMar>
              <w:top w:w="113" w:type="dxa"/>
              <w:left w:w="113" w:type="dxa"/>
              <w:bottom w:w="113" w:type="dxa"/>
              <w:right w:w="113" w:type="dxa"/>
            </w:tcMar>
            <w:vAlign w:val="center"/>
          </w:tcPr>
          <w:p w14:paraId="144F27F7" w14:textId="77777777" w:rsidR="003A257F" w:rsidRPr="003A257F" w:rsidRDefault="003A257F" w:rsidP="003A257F">
            <w:pPr>
              <w:pStyle w:val="CDIFigure-Table-BodyTextCentre"/>
            </w:pPr>
            <w:r w:rsidRPr="003A257F">
              <w:t>37,467</w:t>
            </w:r>
          </w:p>
        </w:tc>
        <w:tc>
          <w:tcPr>
            <w:tcW w:w="1190" w:type="dxa"/>
            <w:shd w:val="clear" w:color="auto" w:fill="F2F2F2" w:themeFill="background1" w:themeFillShade="F2"/>
            <w:tcMar>
              <w:top w:w="113" w:type="dxa"/>
              <w:left w:w="113" w:type="dxa"/>
              <w:bottom w:w="113" w:type="dxa"/>
              <w:right w:w="113" w:type="dxa"/>
            </w:tcMar>
            <w:vAlign w:val="center"/>
          </w:tcPr>
          <w:p w14:paraId="3BBCF0BE" w14:textId="77777777" w:rsidR="003A257F" w:rsidRPr="003A257F" w:rsidRDefault="003A257F" w:rsidP="003A257F">
            <w:pPr>
              <w:pStyle w:val="CDIFigure-Table-BodyTextCentre"/>
            </w:pPr>
            <w:r w:rsidRPr="003A257F">
              <w:t>-12%</w:t>
            </w:r>
          </w:p>
        </w:tc>
        <w:tc>
          <w:tcPr>
            <w:tcW w:w="1191" w:type="dxa"/>
            <w:shd w:val="clear" w:color="auto" w:fill="F2F2F2" w:themeFill="background1" w:themeFillShade="F2"/>
            <w:tcMar>
              <w:top w:w="113" w:type="dxa"/>
              <w:left w:w="113" w:type="dxa"/>
              <w:bottom w:w="113" w:type="dxa"/>
              <w:right w:w="113" w:type="dxa"/>
            </w:tcMar>
            <w:vAlign w:val="center"/>
          </w:tcPr>
          <w:p w14:paraId="5A6C83D6" w14:textId="77777777" w:rsidR="003A257F" w:rsidRPr="003A257F" w:rsidRDefault="003A257F" w:rsidP="003A257F">
            <w:pPr>
              <w:pStyle w:val="CDIFigure-Table-BodyTextCentre"/>
            </w:pPr>
            <w:r w:rsidRPr="003A257F">
              <w:t>10%</w:t>
            </w:r>
          </w:p>
        </w:tc>
        <w:tc>
          <w:tcPr>
            <w:tcW w:w="1190" w:type="dxa"/>
            <w:shd w:val="clear" w:color="auto" w:fill="F2F2F2" w:themeFill="background1" w:themeFillShade="F2"/>
            <w:tcMar>
              <w:top w:w="113" w:type="dxa"/>
              <w:left w:w="113" w:type="dxa"/>
              <w:bottom w:w="113" w:type="dxa"/>
              <w:right w:w="113" w:type="dxa"/>
            </w:tcMar>
            <w:vAlign w:val="center"/>
          </w:tcPr>
          <w:p w14:paraId="100A8847" w14:textId="77777777" w:rsidR="003A257F" w:rsidRPr="003A257F" w:rsidRDefault="003A257F" w:rsidP="003A257F">
            <w:pPr>
              <w:pStyle w:val="CDIFigure-Table-BodyTextCentre"/>
            </w:pPr>
            <w:r w:rsidRPr="003A257F">
              <w:t>4%</w:t>
            </w:r>
          </w:p>
        </w:tc>
        <w:tc>
          <w:tcPr>
            <w:tcW w:w="1134" w:type="dxa"/>
            <w:shd w:val="clear" w:color="auto" w:fill="F2F2F2" w:themeFill="background1" w:themeFillShade="F2"/>
            <w:tcMar>
              <w:top w:w="113" w:type="dxa"/>
              <w:left w:w="113" w:type="dxa"/>
              <w:bottom w:w="113" w:type="dxa"/>
              <w:right w:w="113" w:type="dxa"/>
            </w:tcMar>
            <w:vAlign w:val="center"/>
          </w:tcPr>
          <w:p w14:paraId="7F1AD5F8" w14:textId="77777777" w:rsidR="003A257F" w:rsidRPr="003A257F" w:rsidRDefault="003A257F" w:rsidP="003A257F">
            <w:pPr>
              <w:pStyle w:val="CDIFigure-Table-BodyTextCentre"/>
            </w:pPr>
            <w:r w:rsidRPr="003A257F">
              <w:t>29%</w:t>
            </w:r>
          </w:p>
        </w:tc>
      </w:tr>
      <w:tr w:rsidR="003A257F" w:rsidRPr="003A257F" w14:paraId="65923971" w14:textId="77777777" w:rsidTr="001223AA">
        <w:trPr>
          <w:divId w:val="935526654"/>
          <w:trHeight w:val="20"/>
        </w:trPr>
        <w:tc>
          <w:tcPr>
            <w:tcW w:w="1474" w:type="dxa"/>
            <w:vMerge/>
            <w:shd w:val="clear" w:color="auto" w:fill="C5FFEF" w:themeFill="background2" w:themeFillTint="33"/>
          </w:tcPr>
          <w:p w14:paraId="73DCFFFE" w14:textId="77777777" w:rsidR="003A257F" w:rsidRPr="003A257F" w:rsidRDefault="003A257F" w:rsidP="003A257F">
            <w:pPr>
              <w:pStyle w:val="CDIFigure-Table-BodyTextLeft"/>
            </w:pPr>
          </w:p>
        </w:tc>
        <w:tc>
          <w:tcPr>
            <w:tcW w:w="3345" w:type="dxa"/>
            <w:tcMar>
              <w:top w:w="113" w:type="dxa"/>
              <w:left w:w="113" w:type="dxa"/>
              <w:bottom w:w="113" w:type="dxa"/>
              <w:right w:w="113" w:type="dxa"/>
            </w:tcMar>
            <w:vAlign w:val="center"/>
          </w:tcPr>
          <w:p w14:paraId="0055AD43" w14:textId="77777777" w:rsidR="003A257F" w:rsidRPr="003A257F" w:rsidRDefault="003A257F" w:rsidP="003A257F">
            <w:pPr>
              <w:pStyle w:val="CDIFigure-Table-BodyTextLeft"/>
            </w:pPr>
            <w:r w:rsidRPr="003A257F">
              <w:t>Cholera</w:t>
            </w:r>
          </w:p>
        </w:tc>
        <w:tc>
          <w:tcPr>
            <w:tcW w:w="1190" w:type="dxa"/>
            <w:tcMar>
              <w:top w:w="113" w:type="dxa"/>
              <w:left w:w="113" w:type="dxa"/>
              <w:bottom w:w="113" w:type="dxa"/>
              <w:right w:w="113" w:type="dxa"/>
            </w:tcMar>
            <w:vAlign w:val="center"/>
          </w:tcPr>
          <w:p w14:paraId="71E48BB9" w14:textId="77777777" w:rsidR="003A257F" w:rsidRPr="003A257F" w:rsidRDefault="003A257F" w:rsidP="003A257F">
            <w:pPr>
              <w:pStyle w:val="CDIFigure-Table-BodyTextCentre"/>
            </w:pPr>
            <w:r w:rsidRPr="003A257F">
              <w:t>2</w:t>
            </w:r>
          </w:p>
        </w:tc>
        <w:tc>
          <w:tcPr>
            <w:tcW w:w="1248" w:type="dxa"/>
            <w:tcMar>
              <w:top w:w="113" w:type="dxa"/>
              <w:left w:w="113" w:type="dxa"/>
              <w:bottom w:w="113" w:type="dxa"/>
              <w:right w:w="113" w:type="dxa"/>
            </w:tcMar>
            <w:vAlign w:val="center"/>
          </w:tcPr>
          <w:p w14:paraId="67D134BD" w14:textId="77777777" w:rsidR="003A257F" w:rsidRPr="003A257F" w:rsidRDefault="003A257F" w:rsidP="003A257F">
            <w:pPr>
              <w:pStyle w:val="CDIFigure-Table-BodyTextCentre"/>
            </w:pPr>
            <w:r w:rsidRPr="003A257F">
              <w:t>1</w:t>
            </w:r>
          </w:p>
        </w:tc>
        <w:tc>
          <w:tcPr>
            <w:tcW w:w="1190" w:type="dxa"/>
            <w:tcMar>
              <w:top w:w="113" w:type="dxa"/>
              <w:left w:w="113" w:type="dxa"/>
              <w:bottom w:w="113" w:type="dxa"/>
              <w:right w:w="113" w:type="dxa"/>
            </w:tcMar>
            <w:vAlign w:val="center"/>
          </w:tcPr>
          <w:p w14:paraId="5FE11A8A" w14:textId="77777777" w:rsidR="003A257F" w:rsidRPr="003A257F" w:rsidRDefault="003A257F" w:rsidP="003A257F">
            <w:pPr>
              <w:pStyle w:val="CDIFigure-Table-BodyTextCentre"/>
            </w:pPr>
            <w:r w:rsidRPr="003A257F">
              <w:t>0</w:t>
            </w:r>
          </w:p>
        </w:tc>
        <w:tc>
          <w:tcPr>
            <w:tcW w:w="1191" w:type="dxa"/>
            <w:tcMar>
              <w:top w:w="113" w:type="dxa"/>
              <w:left w:w="113" w:type="dxa"/>
              <w:bottom w:w="113" w:type="dxa"/>
              <w:right w:w="113" w:type="dxa"/>
            </w:tcMar>
            <w:vAlign w:val="center"/>
          </w:tcPr>
          <w:p w14:paraId="59C3FED7" w14:textId="77777777" w:rsidR="003A257F" w:rsidRPr="003A257F" w:rsidRDefault="003A257F" w:rsidP="003A257F">
            <w:pPr>
              <w:pStyle w:val="CDIFigure-Table-BodyTextCentre"/>
            </w:pPr>
            <w:r w:rsidRPr="003A257F">
              <w:t>1</w:t>
            </w:r>
          </w:p>
        </w:tc>
        <w:tc>
          <w:tcPr>
            <w:tcW w:w="1190" w:type="dxa"/>
            <w:tcMar>
              <w:top w:w="113" w:type="dxa"/>
              <w:left w:w="113" w:type="dxa"/>
              <w:bottom w:w="113" w:type="dxa"/>
              <w:right w:w="113" w:type="dxa"/>
            </w:tcMar>
            <w:vAlign w:val="center"/>
          </w:tcPr>
          <w:p w14:paraId="4F146EB9" w14:textId="77777777" w:rsidR="003A257F" w:rsidRPr="003A257F" w:rsidRDefault="003A257F" w:rsidP="003A257F">
            <w:pPr>
              <w:pStyle w:val="CDIFigure-Table-BodyTextCentre"/>
            </w:pPr>
            <w:r w:rsidRPr="003A257F">
              <w:t>-100%</w:t>
            </w:r>
          </w:p>
        </w:tc>
        <w:tc>
          <w:tcPr>
            <w:tcW w:w="1191" w:type="dxa"/>
            <w:tcMar>
              <w:top w:w="113" w:type="dxa"/>
              <w:left w:w="113" w:type="dxa"/>
              <w:bottom w:w="113" w:type="dxa"/>
              <w:right w:w="113" w:type="dxa"/>
            </w:tcMar>
            <w:vAlign w:val="center"/>
          </w:tcPr>
          <w:p w14:paraId="5DE88945" w14:textId="77777777" w:rsidR="003A257F" w:rsidRPr="003A257F" w:rsidRDefault="003A257F" w:rsidP="003A257F">
            <w:pPr>
              <w:pStyle w:val="CDIFigure-Table-BodyTextCentre"/>
            </w:pPr>
            <w:r w:rsidRPr="003A257F">
              <w:t>-100%</w:t>
            </w:r>
          </w:p>
        </w:tc>
        <w:tc>
          <w:tcPr>
            <w:tcW w:w="1190" w:type="dxa"/>
            <w:tcMar>
              <w:top w:w="113" w:type="dxa"/>
              <w:left w:w="113" w:type="dxa"/>
              <w:bottom w:w="113" w:type="dxa"/>
              <w:right w:w="113" w:type="dxa"/>
            </w:tcMar>
            <w:vAlign w:val="center"/>
          </w:tcPr>
          <w:p w14:paraId="3CE702A5" w14:textId="77777777" w:rsidR="003A257F" w:rsidRPr="003A257F" w:rsidRDefault="003A257F" w:rsidP="003A257F">
            <w:pPr>
              <w:pStyle w:val="CDIFigure-Table-BodyTextCentre"/>
            </w:pPr>
            <w:r w:rsidRPr="003A257F">
              <w:t>-50%</w:t>
            </w:r>
          </w:p>
        </w:tc>
        <w:tc>
          <w:tcPr>
            <w:tcW w:w="1134" w:type="dxa"/>
            <w:tcMar>
              <w:top w:w="113" w:type="dxa"/>
              <w:left w:w="113" w:type="dxa"/>
              <w:bottom w:w="113" w:type="dxa"/>
              <w:right w:w="113" w:type="dxa"/>
            </w:tcMar>
            <w:vAlign w:val="center"/>
          </w:tcPr>
          <w:p w14:paraId="055D40F9" w14:textId="77777777" w:rsidR="003A257F" w:rsidRPr="003A257F" w:rsidRDefault="003A257F" w:rsidP="003A257F">
            <w:pPr>
              <w:pStyle w:val="CDIFigure-Table-BodyTextCentre"/>
            </w:pPr>
            <w:r w:rsidRPr="003A257F">
              <w:t>-29%</w:t>
            </w:r>
          </w:p>
        </w:tc>
      </w:tr>
      <w:tr w:rsidR="001E6632" w:rsidRPr="003A257F" w14:paraId="0C849981" w14:textId="77777777" w:rsidTr="001223AA">
        <w:trPr>
          <w:divId w:val="935526654"/>
          <w:trHeight w:val="20"/>
        </w:trPr>
        <w:tc>
          <w:tcPr>
            <w:tcW w:w="1474" w:type="dxa"/>
            <w:vMerge/>
            <w:shd w:val="clear" w:color="auto" w:fill="C5FFEF" w:themeFill="background2" w:themeFillTint="33"/>
          </w:tcPr>
          <w:p w14:paraId="35B28B9A" w14:textId="77777777" w:rsidR="003A257F" w:rsidRPr="003A257F" w:rsidRDefault="003A257F" w:rsidP="003A257F">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1DA26DD6" w14:textId="77777777" w:rsidR="003A257F" w:rsidRPr="003E1D2E" w:rsidRDefault="003A257F" w:rsidP="003A257F">
            <w:pPr>
              <w:pStyle w:val="CDIFigure-Table-BodyTextLeft"/>
              <w:rPr>
                <w:vertAlign w:val="subscript"/>
              </w:rPr>
            </w:pPr>
            <w:r w:rsidRPr="003A257F">
              <w:t>Cryptosporidiosis</w:t>
            </w:r>
          </w:p>
        </w:tc>
        <w:tc>
          <w:tcPr>
            <w:tcW w:w="1190" w:type="dxa"/>
            <w:shd w:val="clear" w:color="auto" w:fill="F2F2F2" w:themeFill="background1" w:themeFillShade="F2"/>
            <w:tcMar>
              <w:top w:w="113" w:type="dxa"/>
              <w:left w:w="113" w:type="dxa"/>
              <w:bottom w:w="113" w:type="dxa"/>
              <w:right w:w="113" w:type="dxa"/>
            </w:tcMar>
            <w:vAlign w:val="center"/>
          </w:tcPr>
          <w:p w14:paraId="7B5C6AE1" w14:textId="77777777" w:rsidR="003A257F" w:rsidRPr="003A257F" w:rsidRDefault="003A257F" w:rsidP="003A257F">
            <w:pPr>
              <w:pStyle w:val="CDIFigure-Table-BodyTextCentre"/>
            </w:pPr>
            <w:r w:rsidRPr="003A257F">
              <w:t>2,677</w:t>
            </w:r>
          </w:p>
        </w:tc>
        <w:tc>
          <w:tcPr>
            <w:tcW w:w="1248" w:type="dxa"/>
            <w:shd w:val="clear" w:color="auto" w:fill="F2F2F2" w:themeFill="background1" w:themeFillShade="F2"/>
            <w:tcMar>
              <w:top w:w="113" w:type="dxa"/>
              <w:left w:w="113" w:type="dxa"/>
              <w:bottom w:w="113" w:type="dxa"/>
              <w:right w:w="113" w:type="dxa"/>
            </w:tcMar>
            <w:vAlign w:val="center"/>
          </w:tcPr>
          <w:p w14:paraId="237D2629" w14:textId="77777777" w:rsidR="003A257F" w:rsidRPr="003A257F" w:rsidRDefault="003A257F" w:rsidP="003A257F">
            <w:pPr>
              <w:pStyle w:val="CDIFigure-Table-BodyTextCentre"/>
            </w:pPr>
            <w:r w:rsidRPr="003A257F">
              <w:t>3,973</w:t>
            </w:r>
          </w:p>
        </w:tc>
        <w:tc>
          <w:tcPr>
            <w:tcW w:w="1190" w:type="dxa"/>
            <w:shd w:val="clear" w:color="auto" w:fill="F2F2F2" w:themeFill="background1" w:themeFillShade="F2"/>
            <w:tcMar>
              <w:top w:w="113" w:type="dxa"/>
              <w:left w:w="113" w:type="dxa"/>
              <w:bottom w:w="113" w:type="dxa"/>
              <w:right w:w="113" w:type="dxa"/>
            </w:tcMar>
            <w:vAlign w:val="center"/>
          </w:tcPr>
          <w:p w14:paraId="132DC671" w14:textId="77777777" w:rsidR="003A257F" w:rsidRPr="003A257F" w:rsidRDefault="003A257F" w:rsidP="003A257F">
            <w:pPr>
              <w:pStyle w:val="CDIFigure-Table-BodyTextCentre"/>
            </w:pPr>
            <w:r w:rsidRPr="003A257F">
              <w:t>2,443</w:t>
            </w:r>
          </w:p>
        </w:tc>
        <w:tc>
          <w:tcPr>
            <w:tcW w:w="1191" w:type="dxa"/>
            <w:shd w:val="clear" w:color="auto" w:fill="F2F2F2" w:themeFill="background1" w:themeFillShade="F2"/>
            <w:tcMar>
              <w:top w:w="113" w:type="dxa"/>
              <w:left w:w="113" w:type="dxa"/>
              <w:bottom w:w="113" w:type="dxa"/>
              <w:right w:w="113" w:type="dxa"/>
            </w:tcMar>
            <w:vAlign w:val="center"/>
          </w:tcPr>
          <w:p w14:paraId="5E22A4D5" w14:textId="77777777" w:rsidR="003A257F" w:rsidRPr="003A257F" w:rsidRDefault="003A257F" w:rsidP="003A257F">
            <w:pPr>
              <w:pStyle w:val="CDIFigure-Table-BodyTextCentre"/>
            </w:pPr>
            <w:r w:rsidRPr="003A257F">
              <w:t>1,836</w:t>
            </w:r>
          </w:p>
        </w:tc>
        <w:tc>
          <w:tcPr>
            <w:tcW w:w="1190" w:type="dxa"/>
            <w:shd w:val="clear" w:color="auto" w:fill="F2F2F2" w:themeFill="background1" w:themeFillShade="F2"/>
            <w:tcMar>
              <w:top w:w="113" w:type="dxa"/>
              <w:left w:w="113" w:type="dxa"/>
              <w:bottom w:w="113" w:type="dxa"/>
              <w:right w:w="113" w:type="dxa"/>
            </w:tcMar>
            <w:vAlign w:val="center"/>
          </w:tcPr>
          <w:p w14:paraId="721A59AA" w14:textId="77777777" w:rsidR="003A257F" w:rsidRPr="003A257F" w:rsidRDefault="003A257F" w:rsidP="003A257F">
            <w:pPr>
              <w:pStyle w:val="CDIFigure-Table-BodyTextCentre"/>
            </w:pPr>
            <w:r w:rsidRPr="003A257F">
              <w:t>-9%</w:t>
            </w:r>
          </w:p>
        </w:tc>
        <w:tc>
          <w:tcPr>
            <w:tcW w:w="1191" w:type="dxa"/>
            <w:shd w:val="clear" w:color="auto" w:fill="F2F2F2" w:themeFill="background1" w:themeFillShade="F2"/>
            <w:tcMar>
              <w:top w:w="113" w:type="dxa"/>
              <w:left w:w="113" w:type="dxa"/>
              <w:bottom w:w="113" w:type="dxa"/>
              <w:right w:w="113" w:type="dxa"/>
            </w:tcMar>
            <w:vAlign w:val="center"/>
          </w:tcPr>
          <w:p w14:paraId="77EECA3D" w14:textId="77777777" w:rsidR="003A257F" w:rsidRPr="003A257F" w:rsidRDefault="003A257F" w:rsidP="003A257F">
            <w:pPr>
              <w:pStyle w:val="CDIFigure-Table-BodyTextCentre"/>
            </w:pPr>
            <w:r w:rsidRPr="003A257F">
              <w:t>-39%</w:t>
            </w:r>
          </w:p>
        </w:tc>
        <w:tc>
          <w:tcPr>
            <w:tcW w:w="1190" w:type="dxa"/>
            <w:shd w:val="clear" w:color="auto" w:fill="F2F2F2" w:themeFill="background1" w:themeFillShade="F2"/>
            <w:tcMar>
              <w:top w:w="113" w:type="dxa"/>
              <w:left w:w="113" w:type="dxa"/>
              <w:bottom w:w="113" w:type="dxa"/>
              <w:right w:w="113" w:type="dxa"/>
            </w:tcMar>
            <w:vAlign w:val="center"/>
          </w:tcPr>
          <w:p w14:paraId="1ED16D30" w14:textId="77777777" w:rsidR="003A257F" w:rsidRPr="003A257F" w:rsidRDefault="003A257F" w:rsidP="003A257F">
            <w:pPr>
              <w:pStyle w:val="CDIFigure-Table-BodyTextCentre"/>
            </w:pPr>
            <w:r w:rsidRPr="003A257F">
              <w:t>-31%</w:t>
            </w:r>
          </w:p>
        </w:tc>
        <w:tc>
          <w:tcPr>
            <w:tcW w:w="1134" w:type="dxa"/>
            <w:shd w:val="clear" w:color="auto" w:fill="F2F2F2" w:themeFill="background1" w:themeFillShade="F2"/>
            <w:tcMar>
              <w:top w:w="113" w:type="dxa"/>
              <w:left w:w="113" w:type="dxa"/>
              <w:bottom w:w="113" w:type="dxa"/>
              <w:right w:w="113" w:type="dxa"/>
            </w:tcMar>
            <w:vAlign w:val="center"/>
          </w:tcPr>
          <w:p w14:paraId="63569AFC" w14:textId="77777777" w:rsidR="003A257F" w:rsidRPr="003A257F" w:rsidRDefault="003A257F" w:rsidP="003A257F">
            <w:pPr>
              <w:pStyle w:val="CDIFigure-Table-BodyTextCentre"/>
            </w:pPr>
            <w:r w:rsidRPr="003A257F">
              <w:t>-54%</w:t>
            </w:r>
          </w:p>
        </w:tc>
      </w:tr>
      <w:tr w:rsidR="003A257F" w:rsidRPr="003A257F" w14:paraId="568C2B45" w14:textId="77777777" w:rsidTr="001223AA">
        <w:trPr>
          <w:divId w:val="935526654"/>
          <w:trHeight w:val="20"/>
        </w:trPr>
        <w:tc>
          <w:tcPr>
            <w:tcW w:w="1474" w:type="dxa"/>
            <w:vMerge/>
            <w:shd w:val="clear" w:color="auto" w:fill="C5FFEF" w:themeFill="background2" w:themeFillTint="33"/>
          </w:tcPr>
          <w:p w14:paraId="5601A92D" w14:textId="77777777" w:rsidR="003A257F" w:rsidRPr="003A257F" w:rsidRDefault="003A257F" w:rsidP="003A257F"/>
        </w:tc>
        <w:tc>
          <w:tcPr>
            <w:tcW w:w="3345" w:type="dxa"/>
            <w:tcMar>
              <w:top w:w="113" w:type="dxa"/>
              <w:left w:w="113" w:type="dxa"/>
              <w:bottom w:w="113" w:type="dxa"/>
              <w:right w:w="113" w:type="dxa"/>
            </w:tcMar>
            <w:vAlign w:val="center"/>
          </w:tcPr>
          <w:p w14:paraId="18C40FD9" w14:textId="77777777" w:rsidR="003A257F" w:rsidRPr="003A257F" w:rsidRDefault="003A257F" w:rsidP="003A257F">
            <w:pPr>
              <w:pStyle w:val="CDIFigure-Table-BodyTextLeft"/>
            </w:pPr>
            <w:r w:rsidRPr="003A257F">
              <w:t>Haemolytic uraemic syndrome (HUS)</w:t>
            </w:r>
          </w:p>
        </w:tc>
        <w:tc>
          <w:tcPr>
            <w:tcW w:w="1190" w:type="dxa"/>
            <w:tcMar>
              <w:top w:w="113" w:type="dxa"/>
              <w:left w:w="113" w:type="dxa"/>
              <w:bottom w:w="113" w:type="dxa"/>
              <w:right w:w="113" w:type="dxa"/>
            </w:tcMar>
            <w:vAlign w:val="center"/>
          </w:tcPr>
          <w:p w14:paraId="34A0ABE9" w14:textId="77777777" w:rsidR="003A257F" w:rsidRPr="003A257F" w:rsidRDefault="003A257F" w:rsidP="003A257F">
            <w:pPr>
              <w:pStyle w:val="CDIFigure-Table-BodyTextCentre"/>
            </w:pPr>
            <w:r w:rsidRPr="003A257F">
              <w:t>19</w:t>
            </w:r>
          </w:p>
        </w:tc>
        <w:tc>
          <w:tcPr>
            <w:tcW w:w="1248" w:type="dxa"/>
            <w:tcMar>
              <w:top w:w="113" w:type="dxa"/>
              <w:left w:w="113" w:type="dxa"/>
              <w:bottom w:w="113" w:type="dxa"/>
              <w:right w:w="113" w:type="dxa"/>
            </w:tcMar>
            <w:vAlign w:val="center"/>
          </w:tcPr>
          <w:p w14:paraId="12EFC657" w14:textId="77777777" w:rsidR="003A257F" w:rsidRPr="003A257F" w:rsidRDefault="003A257F" w:rsidP="003A257F">
            <w:pPr>
              <w:pStyle w:val="CDIFigure-Table-BodyTextCentre"/>
            </w:pPr>
            <w:r w:rsidRPr="003A257F">
              <w:t>16</w:t>
            </w:r>
          </w:p>
        </w:tc>
        <w:tc>
          <w:tcPr>
            <w:tcW w:w="1190" w:type="dxa"/>
            <w:tcMar>
              <w:top w:w="113" w:type="dxa"/>
              <w:left w:w="113" w:type="dxa"/>
              <w:bottom w:w="113" w:type="dxa"/>
              <w:right w:w="113" w:type="dxa"/>
            </w:tcMar>
            <w:vAlign w:val="center"/>
          </w:tcPr>
          <w:p w14:paraId="1398B008" w14:textId="77777777" w:rsidR="003A257F" w:rsidRPr="003A257F" w:rsidRDefault="003A257F" w:rsidP="003A257F">
            <w:pPr>
              <w:pStyle w:val="CDIFigure-Table-BodyTextCentre"/>
            </w:pPr>
            <w:r w:rsidRPr="003A257F">
              <w:t>14</w:t>
            </w:r>
          </w:p>
        </w:tc>
        <w:tc>
          <w:tcPr>
            <w:tcW w:w="1191" w:type="dxa"/>
            <w:tcMar>
              <w:top w:w="113" w:type="dxa"/>
              <w:left w:w="113" w:type="dxa"/>
              <w:bottom w:w="113" w:type="dxa"/>
              <w:right w:w="113" w:type="dxa"/>
            </w:tcMar>
            <w:vAlign w:val="center"/>
          </w:tcPr>
          <w:p w14:paraId="63A5CDC3" w14:textId="77777777" w:rsidR="003A257F" w:rsidRPr="003A257F" w:rsidRDefault="003A257F" w:rsidP="003A257F">
            <w:pPr>
              <w:pStyle w:val="CDIFigure-Table-BodyTextCentre"/>
            </w:pPr>
            <w:r w:rsidRPr="003A257F">
              <w:t>7</w:t>
            </w:r>
          </w:p>
        </w:tc>
        <w:tc>
          <w:tcPr>
            <w:tcW w:w="1190" w:type="dxa"/>
            <w:tcMar>
              <w:top w:w="113" w:type="dxa"/>
              <w:left w:w="113" w:type="dxa"/>
              <w:bottom w:w="113" w:type="dxa"/>
              <w:right w:w="113" w:type="dxa"/>
            </w:tcMar>
            <w:vAlign w:val="center"/>
          </w:tcPr>
          <w:p w14:paraId="6AD3AE25" w14:textId="77777777" w:rsidR="003A257F" w:rsidRPr="003A257F" w:rsidRDefault="003A257F" w:rsidP="003A257F">
            <w:pPr>
              <w:pStyle w:val="CDIFigure-Table-BodyTextCentre"/>
            </w:pPr>
            <w:r w:rsidRPr="003A257F">
              <w:t>-26%</w:t>
            </w:r>
          </w:p>
        </w:tc>
        <w:tc>
          <w:tcPr>
            <w:tcW w:w="1191" w:type="dxa"/>
            <w:tcMar>
              <w:top w:w="113" w:type="dxa"/>
              <w:left w:w="113" w:type="dxa"/>
              <w:bottom w:w="113" w:type="dxa"/>
              <w:right w:w="113" w:type="dxa"/>
            </w:tcMar>
            <w:vAlign w:val="center"/>
          </w:tcPr>
          <w:p w14:paraId="55CCA864" w14:textId="77777777" w:rsidR="003A257F" w:rsidRPr="003A257F" w:rsidRDefault="003A257F" w:rsidP="003A257F">
            <w:pPr>
              <w:pStyle w:val="CDIFigure-Table-BodyTextCentre"/>
            </w:pPr>
            <w:r w:rsidRPr="003A257F">
              <w:t>-13%</w:t>
            </w:r>
          </w:p>
        </w:tc>
        <w:tc>
          <w:tcPr>
            <w:tcW w:w="1190" w:type="dxa"/>
            <w:tcMar>
              <w:top w:w="113" w:type="dxa"/>
              <w:left w:w="113" w:type="dxa"/>
              <w:bottom w:w="113" w:type="dxa"/>
              <w:right w:w="113" w:type="dxa"/>
            </w:tcMar>
            <w:vAlign w:val="center"/>
          </w:tcPr>
          <w:p w14:paraId="2764F459" w14:textId="77777777" w:rsidR="003A257F" w:rsidRPr="003A257F" w:rsidRDefault="003A257F" w:rsidP="003A257F">
            <w:pPr>
              <w:pStyle w:val="CDIFigure-Table-BodyTextCentre"/>
            </w:pPr>
            <w:r w:rsidRPr="003A257F">
              <w:t>-63%</w:t>
            </w:r>
          </w:p>
        </w:tc>
        <w:tc>
          <w:tcPr>
            <w:tcW w:w="1134" w:type="dxa"/>
            <w:tcMar>
              <w:top w:w="113" w:type="dxa"/>
              <w:left w:w="113" w:type="dxa"/>
              <w:bottom w:w="113" w:type="dxa"/>
              <w:right w:w="113" w:type="dxa"/>
            </w:tcMar>
            <w:vAlign w:val="center"/>
          </w:tcPr>
          <w:p w14:paraId="66FEC303" w14:textId="77777777" w:rsidR="003A257F" w:rsidRPr="003A257F" w:rsidRDefault="003A257F" w:rsidP="003A257F">
            <w:pPr>
              <w:pStyle w:val="CDIFigure-Table-BodyTextCentre"/>
            </w:pPr>
            <w:r w:rsidRPr="003A257F">
              <w:t>-56%</w:t>
            </w:r>
          </w:p>
        </w:tc>
      </w:tr>
      <w:tr w:rsidR="001E6632" w:rsidRPr="003A257F" w14:paraId="300226DF" w14:textId="77777777" w:rsidTr="001223AA">
        <w:trPr>
          <w:divId w:val="935526654"/>
          <w:trHeight w:val="20"/>
        </w:trPr>
        <w:tc>
          <w:tcPr>
            <w:tcW w:w="1474" w:type="dxa"/>
            <w:vMerge/>
            <w:shd w:val="clear" w:color="auto" w:fill="C5FFEF" w:themeFill="background2" w:themeFillTint="33"/>
          </w:tcPr>
          <w:p w14:paraId="5A64E675"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6BEA0206" w14:textId="77777777" w:rsidR="003A257F" w:rsidRPr="003A257F" w:rsidRDefault="003A257F" w:rsidP="003A257F">
            <w:pPr>
              <w:pStyle w:val="CDIFigure-Table-BodyTextLeft"/>
            </w:pPr>
            <w:r w:rsidRPr="003A257F">
              <w:t>Hepatitis A</w:t>
            </w:r>
          </w:p>
        </w:tc>
        <w:tc>
          <w:tcPr>
            <w:tcW w:w="1190" w:type="dxa"/>
            <w:shd w:val="clear" w:color="auto" w:fill="F2F2F2" w:themeFill="background1" w:themeFillShade="F2"/>
            <w:tcMar>
              <w:top w:w="113" w:type="dxa"/>
              <w:left w:w="113" w:type="dxa"/>
              <w:bottom w:w="113" w:type="dxa"/>
              <w:right w:w="113" w:type="dxa"/>
            </w:tcMar>
            <w:vAlign w:val="center"/>
          </w:tcPr>
          <w:p w14:paraId="0B5C9320" w14:textId="77777777" w:rsidR="003A257F" w:rsidRPr="003A257F" w:rsidRDefault="003A257F" w:rsidP="003A257F">
            <w:pPr>
              <w:pStyle w:val="CDIFigure-Table-BodyTextCentre"/>
            </w:pPr>
            <w:r w:rsidRPr="003A257F">
              <w:t>246</w:t>
            </w:r>
          </w:p>
        </w:tc>
        <w:tc>
          <w:tcPr>
            <w:tcW w:w="1248" w:type="dxa"/>
            <w:shd w:val="clear" w:color="auto" w:fill="F2F2F2" w:themeFill="background1" w:themeFillShade="F2"/>
            <w:tcMar>
              <w:top w:w="113" w:type="dxa"/>
              <w:left w:w="113" w:type="dxa"/>
              <w:bottom w:w="113" w:type="dxa"/>
              <w:right w:w="113" w:type="dxa"/>
            </w:tcMar>
            <w:vAlign w:val="center"/>
          </w:tcPr>
          <w:p w14:paraId="7984D850" w14:textId="77777777" w:rsidR="003A257F" w:rsidRPr="003A257F" w:rsidRDefault="003A257F" w:rsidP="003A257F">
            <w:pPr>
              <w:pStyle w:val="CDIFigure-Table-BodyTextCentre"/>
            </w:pPr>
            <w:r w:rsidRPr="003A257F">
              <w:t>244</w:t>
            </w:r>
          </w:p>
        </w:tc>
        <w:tc>
          <w:tcPr>
            <w:tcW w:w="1190" w:type="dxa"/>
            <w:shd w:val="clear" w:color="auto" w:fill="F2F2F2" w:themeFill="background1" w:themeFillShade="F2"/>
            <w:tcMar>
              <w:top w:w="113" w:type="dxa"/>
              <w:left w:w="113" w:type="dxa"/>
              <w:bottom w:w="113" w:type="dxa"/>
              <w:right w:w="113" w:type="dxa"/>
            </w:tcMar>
            <w:vAlign w:val="center"/>
          </w:tcPr>
          <w:p w14:paraId="786B5CE9" w14:textId="77777777" w:rsidR="003A257F" w:rsidRPr="003A257F" w:rsidRDefault="003A257F" w:rsidP="003A257F">
            <w:pPr>
              <w:pStyle w:val="CDIFigure-Table-BodyTextCentre"/>
            </w:pPr>
            <w:r w:rsidRPr="003A257F">
              <w:t>85</w:t>
            </w:r>
          </w:p>
        </w:tc>
        <w:tc>
          <w:tcPr>
            <w:tcW w:w="1191" w:type="dxa"/>
            <w:shd w:val="clear" w:color="auto" w:fill="F2F2F2" w:themeFill="background1" w:themeFillShade="F2"/>
            <w:tcMar>
              <w:top w:w="113" w:type="dxa"/>
              <w:left w:w="113" w:type="dxa"/>
              <w:bottom w:w="113" w:type="dxa"/>
              <w:right w:w="113" w:type="dxa"/>
            </w:tcMar>
            <w:vAlign w:val="center"/>
          </w:tcPr>
          <w:p w14:paraId="49D84D8E" w14:textId="77777777" w:rsidR="003A257F" w:rsidRPr="003A257F" w:rsidRDefault="003A257F" w:rsidP="003A257F">
            <w:pPr>
              <w:pStyle w:val="CDIFigure-Table-BodyTextCentre"/>
            </w:pPr>
            <w:r w:rsidRPr="003A257F">
              <w:t>24</w:t>
            </w:r>
          </w:p>
        </w:tc>
        <w:tc>
          <w:tcPr>
            <w:tcW w:w="1190" w:type="dxa"/>
            <w:shd w:val="clear" w:color="auto" w:fill="F2F2F2" w:themeFill="background1" w:themeFillShade="F2"/>
            <w:tcMar>
              <w:top w:w="113" w:type="dxa"/>
              <w:left w:w="113" w:type="dxa"/>
              <w:bottom w:w="113" w:type="dxa"/>
              <w:right w:w="113" w:type="dxa"/>
            </w:tcMar>
            <w:vAlign w:val="center"/>
          </w:tcPr>
          <w:p w14:paraId="0A24249E" w14:textId="77777777" w:rsidR="003A257F" w:rsidRPr="003A257F" w:rsidRDefault="003A257F" w:rsidP="003A257F">
            <w:pPr>
              <w:pStyle w:val="CDIFigure-Table-BodyTextCentre"/>
            </w:pPr>
            <w:r w:rsidRPr="003A257F">
              <w:t>-65%</w:t>
            </w:r>
          </w:p>
        </w:tc>
        <w:tc>
          <w:tcPr>
            <w:tcW w:w="1191" w:type="dxa"/>
            <w:shd w:val="clear" w:color="auto" w:fill="F2F2F2" w:themeFill="background1" w:themeFillShade="F2"/>
            <w:tcMar>
              <w:top w:w="113" w:type="dxa"/>
              <w:left w:w="113" w:type="dxa"/>
              <w:bottom w:w="113" w:type="dxa"/>
              <w:right w:w="113" w:type="dxa"/>
            </w:tcMar>
            <w:vAlign w:val="center"/>
          </w:tcPr>
          <w:p w14:paraId="279D87AF" w14:textId="77777777" w:rsidR="003A257F" w:rsidRPr="003A257F" w:rsidRDefault="003A257F" w:rsidP="003A257F">
            <w:pPr>
              <w:pStyle w:val="CDIFigure-Table-BodyTextCentre"/>
            </w:pPr>
            <w:r w:rsidRPr="003A257F">
              <w:t>-65%</w:t>
            </w:r>
          </w:p>
        </w:tc>
        <w:tc>
          <w:tcPr>
            <w:tcW w:w="1190" w:type="dxa"/>
            <w:shd w:val="clear" w:color="auto" w:fill="F2F2F2" w:themeFill="background1" w:themeFillShade="F2"/>
            <w:tcMar>
              <w:top w:w="113" w:type="dxa"/>
              <w:left w:w="113" w:type="dxa"/>
              <w:bottom w:w="113" w:type="dxa"/>
              <w:right w:w="113" w:type="dxa"/>
            </w:tcMar>
            <w:vAlign w:val="center"/>
          </w:tcPr>
          <w:p w14:paraId="616B0696" w14:textId="77777777" w:rsidR="003A257F" w:rsidRPr="003A257F" w:rsidRDefault="003A257F" w:rsidP="003A257F">
            <w:pPr>
              <w:pStyle w:val="CDIFigure-Table-BodyTextCentre"/>
            </w:pPr>
            <w:r w:rsidRPr="003A257F">
              <w:t>-90%</w:t>
            </w:r>
          </w:p>
        </w:tc>
        <w:tc>
          <w:tcPr>
            <w:tcW w:w="1134" w:type="dxa"/>
            <w:shd w:val="clear" w:color="auto" w:fill="F2F2F2" w:themeFill="background1" w:themeFillShade="F2"/>
            <w:tcMar>
              <w:top w:w="113" w:type="dxa"/>
              <w:left w:w="113" w:type="dxa"/>
              <w:bottom w:w="113" w:type="dxa"/>
              <w:right w:w="113" w:type="dxa"/>
            </w:tcMar>
            <w:vAlign w:val="center"/>
          </w:tcPr>
          <w:p w14:paraId="61E8834E" w14:textId="77777777" w:rsidR="003A257F" w:rsidRPr="003A257F" w:rsidRDefault="003A257F" w:rsidP="003A257F">
            <w:pPr>
              <w:pStyle w:val="CDIFigure-Table-BodyTextCentre"/>
            </w:pPr>
            <w:r w:rsidRPr="003A257F">
              <w:t>-90%</w:t>
            </w:r>
          </w:p>
        </w:tc>
      </w:tr>
      <w:tr w:rsidR="003A257F" w:rsidRPr="003A257F" w14:paraId="073E49F9" w14:textId="77777777" w:rsidTr="001223AA">
        <w:trPr>
          <w:divId w:val="935526654"/>
          <w:trHeight w:val="20"/>
        </w:trPr>
        <w:tc>
          <w:tcPr>
            <w:tcW w:w="1474" w:type="dxa"/>
            <w:vMerge/>
            <w:shd w:val="clear" w:color="auto" w:fill="C5FFEF" w:themeFill="background2" w:themeFillTint="33"/>
          </w:tcPr>
          <w:p w14:paraId="5D9A0330" w14:textId="77777777" w:rsidR="003A257F" w:rsidRPr="003A257F" w:rsidRDefault="003A257F" w:rsidP="003A257F"/>
        </w:tc>
        <w:tc>
          <w:tcPr>
            <w:tcW w:w="3345" w:type="dxa"/>
            <w:tcMar>
              <w:top w:w="113" w:type="dxa"/>
              <w:left w:w="113" w:type="dxa"/>
              <w:bottom w:w="113" w:type="dxa"/>
              <w:right w:w="113" w:type="dxa"/>
            </w:tcMar>
            <w:vAlign w:val="center"/>
          </w:tcPr>
          <w:p w14:paraId="787941E5" w14:textId="77777777" w:rsidR="003A257F" w:rsidRPr="003A257F" w:rsidRDefault="003A257F" w:rsidP="003A257F">
            <w:pPr>
              <w:pStyle w:val="CDIFigure-Table-BodyTextLeft"/>
            </w:pPr>
            <w:r w:rsidRPr="003A257F">
              <w:t>Hepatitis E</w:t>
            </w:r>
          </w:p>
        </w:tc>
        <w:tc>
          <w:tcPr>
            <w:tcW w:w="1190" w:type="dxa"/>
            <w:tcMar>
              <w:top w:w="113" w:type="dxa"/>
              <w:left w:w="113" w:type="dxa"/>
              <w:bottom w:w="113" w:type="dxa"/>
              <w:right w:w="113" w:type="dxa"/>
            </w:tcMar>
            <w:vAlign w:val="center"/>
          </w:tcPr>
          <w:p w14:paraId="5EE1D8E3" w14:textId="77777777" w:rsidR="003A257F" w:rsidRPr="003A257F" w:rsidRDefault="003A257F" w:rsidP="003A257F">
            <w:pPr>
              <w:pStyle w:val="CDIFigure-Table-BodyTextCentre"/>
            </w:pPr>
            <w:r w:rsidRPr="003A257F">
              <w:t>55</w:t>
            </w:r>
          </w:p>
        </w:tc>
        <w:tc>
          <w:tcPr>
            <w:tcW w:w="1248" w:type="dxa"/>
            <w:tcMar>
              <w:top w:w="113" w:type="dxa"/>
              <w:left w:w="113" w:type="dxa"/>
              <w:bottom w:w="113" w:type="dxa"/>
              <w:right w:w="113" w:type="dxa"/>
            </w:tcMar>
            <w:vAlign w:val="center"/>
          </w:tcPr>
          <w:p w14:paraId="194A6F7C" w14:textId="77777777" w:rsidR="003A257F" w:rsidRPr="003A257F" w:rsidRDefault="003A257F" w:rsidP="003A257F">
            <w:pPr>
              <w:pStyle w:val="CDIFigure-Table-BodyTextCentre"/>
            </w:pPr>
            <w:r w:rsidRPr="003A257F">
              <w:t>45</w:t>
            </w:r>
          </w:p>
        </w:tc>
        <w:tc>
          <w:tcPr>
            <w:tcW w:w="1190" w:type="dxa"/>
            <w:tcMar>
              <w:top w:w="113" w:type="dxa"/>
              <w:left w:w="113" w:type="dxa"/>
              <w:bottom w:w="113" w:type="dxa"/>
              <w:right w:w="113" w:type="dxa"/>
            </w:tcMar>
            <w:vAlign w:val="center"/>
          </w:tcPr>
          <w:p w14:paraId="57A3948E" w14:textId="77777777" w:rsidR="003A257F" w:rsidRPr="003A257F" w:rsidRDefault="003A257F" w:rsidP="003A257F">
            <w:pPr>
              <w:pStyle w:val="CDIFigure-Table-BodyTextCentre"/>
            </w:pPr>
            <w:r w:rsidRPr="003A257F">
              <w:t>31</w:t>
            </w:r>
          </w:p>
        </w:tc>
        <w:tc>
          <w:tcPr>
            <w:tcW w:w="1191" w:type="dxa"/>
            <w:tcMar>
              <w:top w:w="113" w:type="dxa"/>
              <w:left w:w="113" w:type="dxa"/>
              <w:bottom w:w="113" w:type="dxa"/>
              <w:right w:w="113" w:type="dxa"/>
            </w:tcMar>
            <w:vAlign w:val="center"/>
          </w:tcPr>
          <w:p w14:paraId="3986E161" w14:textId="77777777" w:rsidR="003A257F" w:rsidRPr="003A257F" w:rsidRDefault="003A257F" w:rsidP="003A257F">
            <w:pPr>
              <w:pStyle w:val="CDIFigure-Table-BodyTextCentre"/>
            </w:pPr>
            <w:r w:rsidRPr="003A257F">
              <w:t>10</w:t>
            </w:r>
          </w:p>
        </w:tc>
        <w:tc>
          <w:tcPr>
            <w:tcW w:w="1190" w:type="dxa"/>
            <w:tcMar>
              <w:top w:w="113" w:type="dxa"/>
              <w:left w:w="113" w:type="dxa"/>
              <w:bottom w:w="113" w:type="dxa"/>
              <w:right w:w="113" w:type="dxa"/>
            </w:tcMar>
            <w:vAlign w:val="center"/>
          </w:tcPr>
          <w:p w14:paraId="06811F42" w14:textId="77777777" w:rsidR="003A257F" w:rsidRPr="003A257F" w:rsidRDefault="003A257F" w:rsidP="003A257F">
            <w:pPr>
              <w:pStyle w:val="CDIFigure-Table-BodyTextCentre"/>
            </w:pPr>
            <w:r w:rsidRPr="003A257F">
              <w:t>-44%</w:t>
            </w:r>
          </w:p>
        </w:tc>
        <w:tc>
          <w:tcPr>
            <w:tcW w:w="1191" w:type="dxa"/>
            <w:tcMar>
              <w:top w:w="113" w:type="dxa"/>
              <w:left w:w="113" w:type="dxa"/>
              <w:bottom w:w="113" w:type="dxa"/>
              <w:right w:w="113" w:type="dxa"/>
            </w:tcMar>
            <w:vAlign w:val="center"/>
          </w:tcPr>
          <w:p w14:paraId="2298D25D" w14:textId="77777777" w:rsidR="003A257F" w:rsidRPr="003A257F" w:rsidRDefault="003A257F" w:rsidP="003A257F">
            <w:pPr>
              <w:pStyle w:val="CDIFigure-Table-BodyTextCentre"/>
            </w:pPr>
            <w:r w:rsidRPr="003A257F">
              <w:t>-32%</w:t>
            </w:r>
          </w:p>
        </w:tc>
        <w:tc>
          <w:tcPr>
            <w:tcW w:w="1190" w:type="dxa"/>
            <w:tcMar>
              <w:top w:w="113" w:type="dxa"/>
              <w:left w:w="113" w:type="dxa"/>
              <w:bottom w:w="113" w:type="dxa"/>
              <w:right w:w="113" w:type="dxa"/>
            </w:tcMar>
            <w:vAlign w:val="center"/>
          </w:tcPr>
          <w:p w14:paraId="5BCAF3C7" w14:textId="77777777" w:rsidR="003A257F" w:rsidRPr="003A257F" w:rsidRDefault="003A257F" w:rsidP="003A257F">
            <w:pPr>
              <w:pStyle w:val="CDIFigure-Table-BodyTextCentre"/>
            </w:pPr>
            <w:r w:rsidRPr="003A257F">
              <w:t>-82%</w:t>
            </w:r>
          </w:p>
        </w:tc>
        <w:tc>
          <w:tcPr>
            <w:tcW w:w="1134" w:type="dxa"/>
            <w:tcMar>
              <w:top w:w="113" w:type="dxa"/>
              <w:left w:w="113" w:type="dxa"/>
              <w:bottom w:w="113" w:type="dxa"/>
              <w:right w:w="113" w:type="dxa"/>
            </w:tcMar>
            <w:vAlign w:val="center"/>
          </w:tcPr>
          <w:p w14:paraId="13F709C3" w14:textId="77777777" w:rsidR="003A257F" w:rsidRPr="003A257F" w:rsidRDefault="003A257F" w:rsidP="003A257F">
            <w:pPr>
              <w:pStyle w:val="CDIFigure-Table-BodyTextCentre"/>
            </w:pPr>
            <w:r w:rsidRPr="003A257F">
              <w:t>-78%</w:t>
            </w:r>
          </w:p>
        </w:tc>
      </w:tr>
      <w:tr w:rsidR="001E6632" w:rsidRPr="003A257F" w14:paraId="283DB6F1" w14:textId="77777777" w:rsidTr="001223AA">
        <w:trPr>
          <w:divId w:val="935526654"/>
          <w:trHeight w:val="20"/>
        </w:trPr>
        <w:tc>
          <w:tcPr>
            <w:tcW w:w="1474" w:type="dxa"/>
            <w:vMerge/>
            <w:shd w:val="clear" w:color="auto" w:fill="C5FFEF" w:themeFill="background2" w:themeFillTint="33"/>
          </w:tcPr>
          <w:p w14:paraId="7BA8778C"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08FF2881" w14:textId="77777777" w:rsidR="003A257F" w:rsidRPr="003A257F" w:rsidRDefault="003A257F" w:rsidP="003A257F">
            <w:pPr>
              <w:pStyle w:val="CDIFigure-Table-BodyTextLeft"/>
            </w:pPr>
            <w:r w:rsidRPr="003A257F">
              <w:t>Listeriosis</w:t>
            </w:r>
          </w:p>
        </w:tc>
        <w:tc>
          <w:tcPr>
            <w:tcW w:w="1190" w:type="dxa"/>
            <w:shd w:val="clear" w:color="auto" w:fill="F2F2F2" w:themeFill="background1" w:themeFillShade="F2"/>
            <w:tcMar>
              <w:top w:w="113" w:type="dxa"/>
              <w:left w:w="113" w:type="dxa"/>
              <w:bottom w:w="113" w:type="dxa"/>
              <w:right w:w="113" w:type="dxa"/>
            </w:tcMar>
            <w:vAlign w:val="center"/>
          </w:tcPr>
          <w:p w14:paraId="3FC18D0B" w14:textId="77777777" w:rsidR="003A257F" w:rsidRPr="003A257F" w:rsidRDefault="003A257F" w:rsidP="003A257F">
            <w:pPr>
              <w:pStyle w:val="CDIFigure-Table-BodyTextCentre"/>
            </w:pPr>
            <w:r w:rsidRPr="003A257F">
              <w:t>52</w:t>
            </w:r>
          </w:p>
        </w:tc>
        <w:tc>
          <w:tcPr>
            <w:tcW w:w="1248" w:type="dxa"/>
            <w:shd w:val="clear" w:color="auto" w:fill="F2F2F2" w:themeFill="background1" w:themeFillShade="F2"/>
            <w:tcMar>
              <w:top w:w="113" w:type="dxa"/>
              <w:left w:w="113" w:type="dxa"/>
              <w:bottom w:w="113" w:type="dxa"/>
              <w:right w:w="113" w:type="dxa"/>
            </w:tcMar>
            <w:vAlign w:val="center"/>
          </w:tcPr>
          <w:p w14:paraId="7F4CB0F7" w14:textId="77777777" w:rsidR="003A257F" w:rsidRPr="003A257F" w:rsidRDefault="003A257F" w:rsidP="003A257F">
            <w:pPr>
              <w:pStyle w:val="CDIFigure-Table-BodyTextCentre"/>
            </w:pPr>
            <w:r w:rsidRPr="003A257F">
              <w:t>70</w:t>
            </w:r>
          </w:p>
        </w:tc>
        <w:tc>
          <w:tcPr>
            <w:tcW w:w="1190" w:type="dxa"/>
            <w:shd w:val="clear" w:color="auto" w:fill="F2F2F2" w:themeFill="background1" w:themeFillShade="F2"/>
            <w:tcMar>
              <w:top w:w="113" w:type="dxa"/>
              <w:left w:w="113" w:type="dxa"/>
              <w:bottom w:w="113" w:type="dxa"/>
              <w:right w:w="113" w:type="dxa"/>
            </w:tcMar>
            <w:vAlign w:val="center"/>
          </w:tcPr>
          <w:p w14:paraId="3C2DE8FE" w14:textId="77777777" w:rsidR="003A257F" w:rsidRPr="003A257F" w:rsidRDefault="003A257F" w:rsidP="003A257F">
            <w:pPr>
              <w:pStyle w:val="CDIFigure-Table-BodyTextCentre"/>
            </w:pPr>
            <w:r w:rsidRPr="003A257F">
              <w:t>44</w:t>
            </w:r>
          </w:p>
        </w:tc>
        <w:tc>
          <w:tcPr>
            <w:tcW w:w="1191" w:type="dxa"/>
            <w:shd w:val="clear" w:color="auto" w:fill="F2F2F2" w:themeFill="background1" w:themeFillShade="F2"/>
            <w:tcMar>
              <w:top w:w="113" w:type="dxa"/>
              <w:left w:w="113" w:type="dxa"/>
              <w:bottom w:w="113" w:type="dxa"/>
              <w:right w:w="113" w:type="dxa"/>
            </w:tcMar>
            <w:vAlign w:val="center"/>
          </w:tcPr>
          <w:p w14:paraId="48503C74" w14:textId="77777777" w:rsidR="003A257F" w:rsidRPr="003A257F" w:rsidRDefault="003A257F" w:rsidP="003A257F">
            <w:pPr>
              <w:pStyle w:val="CDIFigure-Table-BodyTextCentre"/>
            </w:pPr>
            <w:r w:rsidRPr="003A257F">
              <w:t>44</w:t>
            </w:r>
          </w:p>
        </w:tc>
        <w:tc>
          <w:tcPr>
            <w:tcW w:w="1190" w:type="dxa"/>
            <w:shd w:val="clear" w:color="auto" w:fill="F2F2F2" w:themeFill="background1" w:themeFillShade="F2"/>
            <w:tcMar>
              <w:top w:w="113" w:type="dxa"/>
              <w:left w:w="113" w:type="dxa"/>
              <w:bottom w:w="113" w:type="dxa"/>
              <w:right w:w="113" w:type="dxa"/>
            </w:tcMar>
            <w:vAlign w:val="center"/>
          </w:tcPr>
          <w:p w14:paraId="492C025C" w14:textId="77777777" w:rsidR="003A257F" w:rsidRPr="003A257F" w:rsidRDefault="003A257F" w:rsidP="003A257F">
            <w:pPr>
              <w:pStyle w:val="CDIFigure-Table-BodyTextCentre"/>
            </w:pPr>
            <w:r w:rsidRPr="003A257F">
              <w:t>-15%</w:t>
            </w:r>
          </w:p>
        </w:tc>
        <w:tc>
          <w:tcPr>
            <w:tcW w:w="1191" w:type="dxa"/>
            <w:shd w:val="clear" w:color="auto" w:fill="F2F2F2" w:themeFill="background1" w:themeFillShade="F2"/>
            <w:tcMar>
              <w:top w:w="113" w:type="dxa"/>
              <w:left w:w="113" w:type="dxa"/>
              <w:bottom w:w="113" w:type="dxa"/>
              <w:right w:w="113" w:type="dxa"/>
            </w:tcMar>
            <w:vAlign w:val="center"/>
          </w:tcPr>
          <w:p w14:paraId="3863638E" w14:textId="77777777" w:rsidR="003A257F" w:rsidRPr="003A257F" w:rsidRDefault="003A257F" w:rsidP="003A257F">
            <w:pPr>
              <w:pStyle w:val="CDIFigure-Table-BodyTextCentre"/>
            </w:pPr>
            <w:r w:rsidRPr="003A257F">
              <w:t>-37%</w:t>
            </w:r>
          </w:p>
        </w:tc>
        <w:tc>
          <w:tcPr>
            <w:tcW w:w="1190" w:type="dxa"/>
            <w:shd w:val="clear" w:color="auto" w:fill="F2F2F2" w:themeFill="background1" w:themeFillShade="F2"/>
            <w:tcMar>
              <w:top w:w="113" w:type="dxa"/>
              <w:left w:w="113" w:type="dxa"/>
              <w:bottom w:w="113" w:type="dxa"/>
              <w:right w:w="113" w:type="dxa"/>
            </w:tcMar>
            <w:vAlign w:val="center"/>
          </w:tcPr>
          <w:p w14:paraId="57EF1A26" w14:textId="77777777" w:rsidR="003A257F" w:rsidRPr="003A257F" w:rsidRDefault="003A257F" w:rsidP="003A257F">
            <w:pPr>
              <w:pStyle w:val="CDIFigure-Table-BodyTextCentre"/>
            </w:pPr>
            <w:r w:rsidRPr="003A257F">
              <w:t>-15%</w:t>
            </w:r>
          </w:p>
        </w:tc>
        <w:tc>
          <w:tcPr>
            <w:tcW w:w="1134" w:type="dxa"/>
            <w:shd w:val="clear" w:color="auto" w:fill="F2F2F2" w:themeFill="background1" w:themeFillShade="F2"/>
            <w:tcMar>
              <w:top w:w="113" w:type="dxa"/>
              <w:left w:w="113" w:type="dxa"/>
              <w:bottom w:w="113" w:type="dxa"/>
              <w:right w:w="113" w:type="dxa"/>
            </w:tcMar>
            <w:vAlign w:val="center"/>
          </w:tcPr>
          <w:p w14:paraId="0ACAFC4C" w14:textId="77777777" w:rsidR="003A257F" w:rsidRPr="003A257F" w:rsidRDefault="003A257F" w:rsidP="003A257F">
            <w:pPr>
              <w:pStyle w:val="CDIFigure-Table-BodyTextCentre"/>
            </w:pPr>
            <w:r w:rsidRPr="003A257F">
              <w:t>-37%</w:t>
            </w:r>
          </w:p>
        </w:tc>
      </w:tr>
      <w:tr w:rsidR="003A257F" w:rsidRPr="003A257F" w14:paraId="53F4149B" w14:textId="77777777" w:rsidTr="001223AA">
        <w:trPr>
          <w:divId w:val="935526654"/>
          <w:trHeight w:val="20"/>
        </w:trPr>
        <w:tc>
          <w:tcPr>
            <w:tcW w:w="1474" w:type="dxa"/>
            <w:vMerge/>
            <w:shd w:val="clear" w:color="auto" w:fill="C5FFEF" w:themeFill="background2" w:themeFillTint="33"/>
          </w:tcPr>
          <w:p w14:paraId="62A01264" w14:textId="77777777" w:rsidR="003A257F" w:rsidRPr="003A257F" w:rsidRDefault="003A257F" w:rsidP="003A257F"/>
        </w:tc>
        <w:tc>
          <w:tcPr>
            <w:tcW w:w="3345" w:type="dxa"/>
            <w:tcMar>
              <w:top w:w="113" w:type="dxa"/>
              <w:left w:w="113" w:type="dxa"/>
              <w:bottom w:w="113" w:type="dxa"/>
              <w:right w:w="113" w:type="dxa"/>
            </w:tcMar>
            <w:vAlign w:val="center"/>
          </w:tcPr>
          <w:p w14:paraId="31EE742D" w14:textId="77777777" w:rsidR="003A257F" w:rsidRPr="003A257F" w:rsidRDefault="003A257F" w:rsidP="003A257F">
            <w:pPr>
              <w:pStyle w:val="CDIFigure-Table-BodyTextLeft"/>
            </w:pPr>
            <w:r w:rsidRPr="003A257F">
              <w:t>Paratyphoid</w:t>
            </w:r>
          </w:p>
        </w:tc>
        <w:tc>
          <w:tcPr>
            <w:tcW w:w="1190" w:type="dxa"/>
            <w:tcMar>
              <w:top w:w="113" w:type="dxa"/>
              <w:left w:w="113" w:type="dxa"/>
              <w:bottom w:w="113" w:type="dxa"/>
              <w:right w:w="113" w:type="dxa"/>
            </w:tcMar>
            <w:vAlign w:val="center"/>
          </w:tcPr>
          <w:p w14:paraId="23EBA0C4" w14:textId="77777777" w:rsidR="003A257F" w:rsidRPr="003A257F" w:rsidRDefault="003A257F" w:rsidP="003A257F">
            <w:pPr>
              <w:pStyle w:val="CDIFigure-Table-BodyTextCentre"/>
            </w:pPr>
            <w:r w:rsidRPr="003A257F">
              <w:t>116</w:t>
            </w:r>
          </w:p>
        </w:tc>
        <w:tc>
          <w:tcPr>
            <w:tcW w:w="1248" w:type="dxa"/>
            <w:tcMar>
              <w:top w:w="113" w:type="dxa"/>
              <w:left w:w="113" w:type="dxa"/>
              <w:bottom w:w="113" w:type="dxa"/>
              <w:right w:w="113" w:type="dxa"/>
            </w:tcMar>
            <w:vAlign w:val="center"/>
          </w:tcPr>
          <w:p w14:paraId="21833E72" w14:textId="77777777" w:rsidR="003A257F" w:rsidRPr="003A257F" w:rsidRDefault="003A257F" w:rsidP="003A257F">
            <w:pPr>
              <w:pStyle w:val="CDIFigure-Table-BodyTextCentre"/>
            </w:pPr>
            <w:r w:rsidRPr="003A257F">
              <w:t>84</w:t>
            </w:r>
          </w:p>
        </w:tc>
        <w:tc>
          <w:tcPr>
            <w:tcW w:w="1190" w:type="dxa"/>
            <w:tcMar>
              <w:top w:w="113" w:type="dxa"/>
              <w:left w:w="113" w:type="dxa"/>
              <w:bottom w:w="113" w:type="dxa"/>
              <w:right w:w="113" w:type="dxa"/>
            </w:tcMar>
            <w:vAlign w:val="center"/>
          </w:tcPr>
          <w:p w14:paraId="42FF5A94" w14:textId="77777777" w:rsidR="003A257F" w:rsidRPr="003A257F" w:rsidRDefault="003A257F" w:rsidP="003A257F">
            <w:pPr>
              <w:pStyle w:val="CDIFigure-Table-BodyTextCentre"/>
            </w:pPr>
            <w:r w:rsidRPr="003A257F">
              <w:t>38</w:t>
            </w:r>
          </w:p>
        </w:tc>
        <w:tc>
          <w:tcPr>
            <w:tcW w:w="1191" w:type="dxa"/>
            <w:tcMar>
              <w:top w:w="113" w:type="dxa"/>
              <w:left w:w="113" w:type="dxa"/>
              <w:bottom w:w="113" w:type="dxa"/>
              <w:right w:w="113" w:type="dxa"/>
            </w:tcMar>
            <w:vAlign w:val="center"/>
          </w:tcPr>
          <w:p w14:paraId="5942BE53" w14:textId="77777777" w:rsidR="003A257F" w:rsidRPr="003A257F" w:rsidRDefault="003A257F" w:rsidP="003A257F">
            <w:pPr>
              <w:pStyle w:val="CDIFigure-Table-BodyTextCentre"/>
            </w:pPr>
            <w:r w:rsidRPr="003A257F">
              <w:t>5</w:t>
            </w:r>
          </w:p>
        </w:tc>
        <w:tc>
          <w:tcPr>
            <w:tcW w:w="1190" w:type="dxa"/>
            <w:tcMar>
              <w:top w:w="113" w:type="dxa"/>
              <w:left w:w="113" w:type="dxa"/>
              <w:bottom w:w="113" w:type="dxa"/>
              <w:right w:w="113" w:type="dxa"/>
            </w:tcMar>
            <w:vAlign w:val="center"/>
          </w:tcPr>
          <w:p w14:paraId="708C58D5" w14:textId="77777777" w:rsidR="003A257F" w:rsidRPr="003A257F" w:rsidRDefault="003A257F" w:rsidP="003A257F">
            <w:pPr>
              <w:pStyle w:val="CDIFigure-Table-BodyTextCentre"/>
            </w:pPr>
            <w:r w:rsidRPr="003A257F">
              <w:t>-67%</w:t>
            </w:r>
          </w:p>
        </w:tc>
        <w:tc>
          <w:tcPr>
            <w:tcW w:w="1191" w:type="dxa"/>
            <w:tcMar>
              <w:top w:w="113" w:type="dxa"/>
              <w:left w:w="113" w:type="dxa"/>
              <w:bottom w:w="113" w:type="dxa"/>
              <w:right w:w="113" w:type="dxa"/>
            </w:tcMar>
            <w:vAlign w:val="center"/>
          </w:tcPr>
          <w:p w14:paraId="5338C5AF" w14:textId="77777777" w:rsidR="003A257F" w:rsidRPr="003A257F" w:rsidRDefault="003A257F" w:rsidP="003A257F">
            <w:pPr>
              <w:pStyle w:val="CDIFigure-Table-BodyTextCentre"/>
            </w:pPr>
            <w:r w:rsidRPr="003A257F">
              <w:t>-55%</w:t>
            </w:r>
          </w:p>
        </w:tc>
        <w:tc>
          <w:tcPr>
            <w:tcW w:w="1190" w:type="dxa"/>
            <w:tcMar>
              <w:top w:w="113" w:type="dxa"/>
              <w:left w:w="113" w:type="dxa"/>
              <w:bottom w:w="113" w:type="dxa"/>
              <w:right w:w="113" w:type="dxa"/>
            </w:tcMar>
            <w:vAlign w:val="center"/>
          </w:tcPr>
          <w:p w14:paraId="4404B067" w14:textId="77777777" w:rsidR="003A257F" w:rsidRPr="003A257F" w:rsidRDefault="003A257F" w:rsidP="003A257F">
            <w:pPr>
              <w:pStyle w:val="CDIFigure-Table-BodyTextCentre"/>
            </w:pPr>
            <w:r w:rsidRPr="003A257F">
              <w:t>-96%</w:t>
            </w:r>
          </w:p>
        </w:tc>
        <w:tc>
          <w:tcPr>
            <w:tcW w:w="1134" w:type="dxa"/>
            <w:tcMar>
              <w:top w:w="113" w:type="dxa"/>
              <w:left w:w="113" w:type="dxa"/>
              <w:bottom w:w="113" w:type="dxa"/>
              <w:right w:w="113" w:type="dxa"/>
            </w:tcMar>
            <w:vAlign w:val="center"/>
          </w:tcPr>
          <w:p w14:paraId="02F0337E" w14:textId="77777777" w:rsidR="003A257F" w:rsidRPr="003A257F" w:rsidRDefault="003A257F" w:rsidP="003A257F">
            <w:pPr>
              <w:pStyle w:val="CDIFigure-Table-BodyTextCentre"/>
            </w:pPr>
            <w:r w:rsidRPr="003A257F">
              <w:t>-94%</w:t>
            </w:r>
          </w:p>
        </w:tc>
      </w:tr>
      <w:tr w:rsidR="001E6632" w:rsidRPr="003A257F" w14:paraId="22E5F858" w14:textId="77777777" w:rsidTr="001223AA">
        <w:trPr>
          <w:divId w:val="935526654"/>
          <w:trHeight w:val="20"/>
        </w:trPr>
        <w:tc>
          <w:tcPr>
            <w:tcW w:w="1474" w:type="dxa"/>
            <w:vMerge/>
            <w:shd w:val="clear" w:color="auto" w:fill="C5FFEF" w:themeFill="background2" w:themeFillTint="33"/>
          </w:tcPr>
          <w:p w14:paraId="55C7621D"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5D0BE147" w14:textId="77777777" w:rsidR="003A257F" w:rsidRPr="003A257F" w:rsidRDefault="003A257F" w:rsidP="001E6632">
            <w:pPr>
              <w:pStyle w:val="CDIFigure-Table-BodyTextLeft"/>
            </w:pPr>
            <w:r w:rsidRPr="003A257F">
              <w:t>Salmonellosis</w:t>
            </w:r>
          </w:p>
        </w:tc>
        <w:tc>
          <w:tcPr>
            <w:tcW w:w="1190" w:type="dxa"/>
            <w:shd w:val="clear" w:color="auto" w:fill="F2F2F2" w:themeFill="background1" w:themeFillShade="F2"/>
            <w:tcMar>
              <w:top w:w="113" w:type="dxa"/>
              <w:left w:w="113" w:type="dxa"/>
              <w:bottom w:w="113" w:type="dxa"/>
              <w:right w:w="113" w:type="dxa"/>
            </w:tcMar>
            <w:vAlign w:val="center"/>
          </w:tcPr>
          <w:p w14:paraId="2BCE4C77" w14:textId="77777777" w:rsidR="003A257F" w:rsidRPr="003A257F" w:rsidRDefault="003A257F" w:rsidP="001E6632">
            <w:pPr>
              <w:pStyle w:val="CDIFigure-Table-BodyTextCentre"/>
            </w:pPr>
            <w:r w:rsidRPr="003A257F">
              <w:t>14,693</w:t>
            </w:r>
          </w:p>
        </w:tc>
        <w:tc>
          <w:tcPr>
            <w:tcW w:w="1248" w:type="dxa"/>
            <w:shd w:val="clear" w:color="auto" w:fill="F2F2F2" w:themeFill="background1" w:themeFillShade="F2"/>
            <w:tcMar>
              <w:top w:w="113" w:type="dxa"/>
              <w:left w:w="113" w:type="dxa"/>
              <w:bottom w:w="113" w:type="dxa"/>
              <w:right w:w="113" w:type="dxa"/>
            </w:tcMar>
            <w:vAlign w:val="center"/>
          </w:tcPr>
          <w:p w14:paraId="24584BBF" w14:textId="77777777" w:rsidR="003A257F" w:rsidRPr="003A257F" w:rsidRDefault="003A257F" w:rsidP="001E6632">
            <w:pPr>
              <w:pStyle w:val="CDIFigure-Table-BodyTextCentre"/>
            </w:pPr>
            <w:r w:rsidRPr="003A257F">
              <w:t>16,016</w:t>
            </w:r>
          </w:p>
        </w:tc>
        <w:tc>
          <w:tcPr>
            <w:tcW w:w="1190" w:type="dxa"/>
            <w:shd w:val="clear" w:color="auto" w:fill="F2F2F2" w:themeFill="background1" w:themeFillShade="F2"/>
            <w:tcMar>
              <w:top w:w="113" w:type="dxa"/>
              <w:left w:w="113" w:type="dxa"/>
              <w:bottom w:w="113" w:type="dxa"/>
              <w:right w:w="113" w:type="dxa"/>
            </w:tcMar>
            <w:vAlign w:val="center"/>
          </w:tcPr>
          <w:p w14:paraId="6A5EA20B" w14:textId="77777777" w:rsidR="003A257F" w:rsidRPr="003A257F" w:rsidRDefault="003A257F" w:rsidP="001E6632">
            <w:pPr>
              <w:pStyle w:val="CDIFigure-Table-BodyTextCentre"/>
            </w:pPr>
            <w:r w:rsidRPr="003A257F">
              <w:t>12,040</w:t>
            </w:r>
          </w:p>
        </w:tc>
        <w:tc>
          <w:tcPr>
            <w:tcW w:w="1191" w:type="dxa"/>
            <w:shd w:val="clear" w:color="auto" w:fill="F2F2F2" w:themeFill="background1" w:themeFillShade="F2"/>
            <w:tcMar>
              <w:top w:w="113" w:type="dxa"/>
              <w:left w:w="113" w:type="dxa"/>
              <w:bottom w:w="113" w:type="dxa"/>
              <w:right w:w="113" w:type="dxa"/>
            </w:tcMar>
            <w:vAlign w:val="center"/>
          </w:tcPr>
          <w:p w14:paraId="4B7B8106" w14:textId="77777777" w:rsidR="003A257F" w:rsidRPr="003A257F" w:rsidRDefault="003A257F" w:rsidP="001E6632">
            <w:pPr>
              <w:pStyle w:val="CDIFigure-Table-BodyTextCentre"/>
            </w:pPr>
            <w:r w:rsidRPr="003A257F">
              <w:t>10,730</w:t>
            </w:r>
          </w:p>
        </w:tc>
        <w:tc>
          <w:tcPr>
            <w:tcW w:w="1190" w:type="dxa"/>
            <w:shd w:val="clear" w:color="auto" w:fill="F2F2F2" w:themeFill="background1" w:themeFillShade="F2"/>
            <w:tcMar>
              <w:top w:w="113" w:type="dxa"/>
              <w:left w:w="113" w:type="dxa"/>
              <w:bottom w:w="113" w:type="dxa"/>
              <w:right w:w="113" w:type="dxa"/>
            </w:tcMar>
            <w:vAlign w:val="center"/>
          </w:tcPr>
          <w:p w14:paraId="5C1194C6" w14:textId="77777777" w:rsidR="003A257F" w:rsidRPr="003A257F" w:rsidRDefault="003A257F" w:rsidP="001E6632">
            <w:pPr>
              <w:pStyle w:val="CDIFigure-Table-BodyTextCentre"/>
            </w:pPr>
            <w:r w:rsidRPr="003A257F">
              <w:t>-18%</w:t>
            </w:r>
          </w:p>
        </w:tc>
        <w:tc>
          <w:tcPr>
            <w:tcW w:w="1191" w:type="dxa"/>
            <w:shd w:val="clear" w:color="auto" w:fill="F2F2F2" w:themeFill="background1" w:themeFillShade="F2"/>
            <w:tcMar>
              <w:top w:w="113" w:type="dxa"/>
              <w:left w:w="113" w:type="dxa"/>
              <w:bottom w:w="113" w:type="dxa"/>
              <w:right w:w="113" w:type="dxa"/>
            </w:tcMar>
            <w:vAlign w:val="center"/>
          </w:tcPr>
          <w:p w14:paraId="298568B7" w14:textId="77777777" w:rsidR="003A257F" w:rsidRPr="003A257F" w:rsidRDefault="003A257F" w:rsidP="001E6632">
            <w:pPr>
              <w:pStyle w:val="CDIFigure-Table-BodyTextCentre"/>
            </w:pPr>
            <w:r w:rsidRPr="003A257F">
              <w:t>-25%</w:t>
            </w:r>
          </w:p>
        </w:tc>
        <w:tc>
          <w:tcPr>
            <w:tcW w:w="1190" w:type="dxa"/>
            <w:shd w:val="clear" w:color="auto" w:fill="F2F2F2" w:themeFill="background1" w:themeFillShade="F2"/>
            <w:tcMar>
              <w:top w:w="113" w:type="dxa"/>
              <w:left w:w="113" w:type="dxa"/>
              <w:bottom w:w="113" w:type="dxa"/>
              <w:right w:w="113" w:type="dxa"/>
            </w:tcMar>
            <w:vAlign w:val="center"/>
          </w:tcPr>
          <w:p w14:paraId="7E0F06D3" w14:textId="77777777" w:rsidR="003A257F" w:rsidRPr="003A257F" w:rsidRDefault="003A257F" w:rsidP="001E6632">
            <w:pPr>
              <w:pStyle w:val="CDIFigure-Table-BodyTextCentre"/>
            </w:pPr>
            <w:r w:rsidRPr="003A257F">
              <w:t>-27%</w:t>
            </w:r>
          </w:p>
        </w:tc>
        <w:tc>
          <w:tcPr>
            <w:tcW w:w="1134" w:type="dxa"/>
            <w:shd w:val="clear" w:color="auto" w:fill="F2F2F2" w:themeFill="background1" w:themeFillShade="F2"/>
            <w:tcMar>
              <w:top w:w="113" w:type="dxa"/>
              <w:left w:w="113" w:type="dxa"/>
              <w:bottom w:w="113" w:type="dxa"/>
              <w:right w:w="113" w:type="dxa"/>
            </w:tcMar>
            <w:vAlign w:val="center"/>
          </w:tcPr>
          <w:p w14:paraId="2185BE65" w14:textId="77777777" w:rsidR="003A257F" w:rsidRPr="003A257F" w:rsidRDefault="003A257F" w:rsidP="001E6632">
            <w:pPr>
              <w:pStyle w:val="CDIFigure-Table-BodyTextCentre"/>
            </w:pPr>
            <w:r w:rsidRPr="003A257F">
              <w:t>-33%</w:t>
            </w:r>
          </w:p>
        </w:tc>
      </w:tr>
      <w:tr w:rsidR="003A257F" w:rsidRPr="003A257F" w14:paraId="4F55EE36" w14:textId="77777777" w:rsidTr="001223AA">
        <w:trPr>
          <w:divId w:val="935526654"/>
          <w:trHeight w:val="20"/>
        </w:trPr>
        <w:tc>
          <w:tcPr>
            <w:tcW w:w="1474" w:type="dxa"/>
            <w:vMerge/>
            <w:shd w:val="clear" w:color="auto" w:fill="C5FFEF" w:themeFill="background2" w:themeFillTint="33"/>
          </w:tcPr>
          <w:p w14:paraId="6B74FEAA" w14:textId="77777777" w:rsidR="003A257F" w:rsidRPr="003A257F" w:rsidRDefault="003A257F" w:rsidP="003A257F"/>
        </w:tc>
        <w:tc>
          <w:tcPr>
            <w:tcW w:w="3345" w:type="dxa"/>
            <w:tcMar>
              <w:top w:w="113" w:type="dxa"/>
              <w:left w:w="113" w:type="dxa"/>
              <w:bottom w:w="113" w:type="dxa"/>
              <w:right w:w="113" w:type="dxa"/>
            </w:tcMar>
            <w:vAlign w:val="center"/>
          </w:tcPr>
          <w:p w14:paraId="025AB087" w14:textId="77777777" w:rsidR="003A257F" w:rsidRPr="003A257F" w:rsidRDefault="003A257F" w:rsidP="001E6632">
            <w:pPr>
              <w:pStyle w:val="CDIFigure-Table-BodyTextLeft"/>
            </w:pPr>
            <w:r w:rsidRPr="003A257F">
              <w:t>Shigellosis</w:t>
            </w:r>
            <w:r w:rsidRPr="001223AA">
              <w:rPr>
                <w:vertAlign w:val="superscript"/>
              </w:rPr>
              <w:t>c</w:t>
            </w:r>
          </w:p>
        </w:tc>
        <w:tc>
          <w:tcPr>
            <w:tcW w:w="1190" w:type="dxa"/>
            <w:tcMar>
              <w:top w:w="113" w:type="dxa"/>
              <w:left w:w="113" w:type="dxa"/>
              <w:bottom w:w="113" w:type="dxa"/>
              <w:right w:w="113" w:type="dxa"/>
            </w:tcMar>
            <w:vAlign w:val="center"/>
          </w:tcPr>
          <w:p w14:paraId="6C32ECC1" w14:textId="77777777" w:rsidR="003A257F" w:rsidRPr="003A257F" w:rsidRDefault="003A257F" w:rsidP="001E6632">
            <w:pPr>
              <w:pStyle w:val="CDIFigure-Table-BodyTextCentre"/>
            </w:pPr>
            <w:r w:rsidRPr="003A257F">
              <w:t>3,154</w:t>
            </w:r>
          </w:p>
        </w:tc>
        <w:tc>
          <w:tcPr>
            <w:tcW w:w="1248" w:type="dxa"/>
            <w:tcMar>
              <w:top w:w="113" w:type="dxa"/>
              <w:left w:w="113" w:type="dxa"/>
              <w:bottom w:w="113" w:type="dxa"/>
              <w:right w:w="113" w:type="dxa"/>
            </w:tcMar>
            <w:vAlign w:val="center"/>
          </w:tcPr>
          <w:p w14:paraId="78B18D6A" w14:textId="77777777" w:rsidR="003A257F" w:rsidRPr="003A257F" w:rsidRDefault="003A257F" w:rsidP="001E6632">
            <w:pPr>
              <w:pStyle w:val="CDIFigure-Table-BodyTextCentre"/>
            </w:pPr>
            <w:r w:rsidRPr="003A257F">
              <w:t>1,971</w:t>
            </w:r>
          </w:p>
        </w:tc>
        <w:tc>
          <w:tcPr>
            <w:tcW w:w="1190" w:type="dxa"/>
            <w:tcMar>
              <w:top w:w="113" w:type="dxa"/>
              <w:left w:w="113" w:type="dxa"/>
              <w:bottom w:w="113" w:type="dxa"/>
              <w:right w:w="113" w:type="dxa"/>
            </w:tcMar>
            <w:vAlign w:val="center"/>
          </w:tcPr>
          <w:p w14:paraId="4E8B229A" w14:textId="77777777" w:rsidR="003A257F" w:rsidRPr="003A257F" w:rsidRDefault="003A257F" w:rsidP="001E6632">
            <w:pPr>
              <w:pStyle w:val="CDIFigure-Table-BodyTextCentre"/>
            </w:pPr>
            <w:r w:rsidRPr="003A257F">
              <w:t>1,602</w:t>
            </w:r>
          </w:p>
        </w:tc>
        <w:tc>
          <w:tcPr>
            <w:tcW w:w="1191" w:type="dxa"/>
            <w:tcMar>
              <w:top w:w="113" w:type="dxa"/>
              <w:left w:w="113" w:type="dxa"/>
              <w:bottom w:w="113" w:type="dxa"/>
              <w:right w:w="113" w:type="dxa"/>
            </w:tcMar>
            <w:vAlign w:val="center"/>
          </w:tcPr>
          <w:p w14:paraId="4ABB5AF7" w14:textId="77777777" w:rsidR="003A257F" w:rsidRPr="003A257F" w:rsidRDefault="003A257F" w:rsidP="001E6632">
            <w:pPr>
              <w:pStyle w:val="CDIFigure-Table-BodyTextCentre"/>
            </w:pPr>
            <w:r w:rsidRPr="003A257F">
              <w:t>475</w:t>
            </w:r>
          </w:p>
        </w:tc>
        <w:tc>
          <w:tcPr>
            <w:tcW w:w="1190" w:type="dxa"/>
            <w:tcMar>
              <w:top w:w="113" w:type="dxa"/>
              <w:left w:w="113" w:type="dxa"/>
              <w:bottom w:w="113" w:type="dxa"/>
              <w:right w:w="113" w:type="dxa"/>
            </w:tcMar>
            <w:vAlign w:val="center"/>
          </w:tcPr>
          <w:p w14:paraId="109D9A96" w14:textId="77777777" w:rsidR="003A257F" w:rsidRPr="003A257F" w:rsidRDefault="003A257F" w:rsidP="001E6632">
            <w:pPr>
              <w:pStyle w:val="CDIFigure-Table-BodyTextCentre"/>
            </w:pPr>
            <w:r w:rsidRPr="003A257F">
              <w:t>-49%</w:t>
            </w:r>
          </w:p>
        </w:tc>
        <w:tc>
          <w:tcPr>
            <w:tcW w:w="1191" w:type="dxa"/>
            <w:tcMar>
              <w:top w:w="113" w:type="dxa"/>
              <w:left w:w="113" w:type="dxa"/>
              <w:bottom w:w="113" w:type="dxa"/>
              <w:right w:w="113" w:type="dxa"/>
            </w:tcMar>
            <w:vAlign w:val="center"/>
          </w:tcPr>
          <w:p w14:paraId="094032B4" w14:textId="77777777" w:rsidR="003A257F" w:rsidRPr="003A257F" w:rsidRDefault="003A257F" w:rsidP="001E6632">
            <w:pPr>
              <w:pStyle w:val="CDIFigure-Table-BodyTextCentre"/>
            </w:pPr>
            <w:r w:rsidRPr="003A257F">
              <w:t>-19%</w:t>
            </w:r>
          </w:p>
        </w:tc>
        <w:tc>
          <w:tcPr>
            <w:tcW w:w="1190" w:type="dxa"/>
            <w:tcMar>
              <w:top w:w="113" w:type="dxa"/>
              <w:left w:w="113" w:type="dxa"/>
              <w:bottom w:w="113" w:type="dxa"/>
              <w:right w:w="113" w:type="dxa"/>
            </w:tcMar>
            <w:vAlign w:val="center"/>
          </w:tcPr>
          <w:p w14:paraId="7EE5DE6E" w14:textId="77777777" w:rsidR="003A257F" w:rsidRPr="003A257F" w:rsidRDefault="003A257F" w:rsidP="001E6632">
            <w:pPr>
              <w:pStyle w:val="CDIFigure-Table-BodyTextCentre"/>
            </w:pPr>
            <w:r w:rsidRPr="003A257F">
              <w:t>-85%</w:t>
            </w:r>
          </w:p>
        </w:tc>
        <w:tc>
          <w:tcPr>
            <w:tcW w:w="1134" w:type="dxa"/>
            <w:tcMar>
              <w:top w:w="113" w:type="dxa"/>
              <w:left w:w="113" w:type="dxa"/>
              <w:bottom w:w="113" w:type="dxa"/>
              <w:right w:w="113" w:type="dxa"/>
            </w:tcMar>
            <w:vAlign w:val="center"/>
          </w:tcPr>
          <w:p w14:paraId="53932742" w14:textId="77777777" w:rsidR="003A257F" w:rsidRPr="003A257F" w:rsidRDefault="003A257F" w:rsidP="001E6632">
            <w:pPr>
              <w:pStyle w:val="CDIFigure-Table-BodyTextCentre"/>
            </w:pPr>
            <w:r w:rsidRPr="003A257F">
              <w:t>-76%</w:t>
            </w:r>
          </w:p>
        </w:tc>
      </w:tr>
      <w:tr w:rsidR="001223AA" w:rsidRPr="003A257F" w14:paraId="65478F75" w14:textId="77777777" w:rsidTr="001223AA">
        <w:trPr>
          <w:divId w:val="935526654"/>
          <w:trHeight w:val="20"/>
        </w:trPr>
        <w:tc>
          <w:tcPr>
            <w:tcW w:w="1474"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7AC1A71" w14:textId="77777777" w:rsidR="001223AA" w:rsidRPr="003A257F" w:rsidRDefault="001223AA" w:rsidP="001223AA">
            <w:pPr>
              <w:pStyle w:val="CDIFigure-Table-BodyTextLeft"/>
              <w:keepNext/>
            </w:pPr>
          </w:p>
        </w:tc>
        <w:tc>
          <w:tcPr>
            <w:tcW w:w="3345" w:type="dxa"/>
            <w:shd w:val="clear" w:color="auto" w:fill="F2F2F2" w:themeFill="background1" w:themeFillShade="F2"/>
            <w:tcMar>
              <w:top w:w="113" w:type="dxa"/>
              <w:left w:w="113" w:type="dxa"/>
              <w:bottom w:w="113" w:type="dxa"/>
              <w:right w:w="113" w:type="dxa"/>
            </w:tcMar>
            <w:vAlign w:val="center"/>
          </w:tcPr>
          <w:p w14:paraId="207F6A19" w14:textId="03F977AD" w:rsidR="001223AA" w:rsidRPr="003A257F" w:rsidRDefault="001223AA" w:rsidP="001223AA">
            <w:pPr>
              <w:pStyle w:val="CDIFigure-Table-BodyTextLeft"/>
            </w:pPr>
            <w:r w:rsidRPr="003A257F">
              <w:t xml:space="preserve">Shiga toxin-producing </w:t>
            </w:r>
            <w:r w:rsidRPr="001223AA">
              <w:rPr>
                <w:i/>
                <w:iCs/>
              </w:rPr>
              <w:t>E. coli</w:t>
            </w:r>
            <w:r w:rsidRPr="003A257F">
              <w:t xml:space="preserve"> (STEC)</w:t>
            </w:r>
          </w:p>
        </w:tc>
        <w:tc>
          <w:tcPr>
            <w:tcW w:w="1190" w:type="dxa"/>
            <w:shd w:val="clear" w:color="auto" w:fill="F2F2F2" w:themeFill="background1" w:themeFillShade="F2"/>
            <w:tcMar>
              <w:top w:w="113" w:type="dxa"/>
              <w:left w:w="113" w:type="dxa"/>
              <w:bottom w:w="113" w:type="dxa"/>
              <w:right w:w="113" w:type="dxa"/>
            </w:tcMar>
            <w:vAlign w:val="center"/>
          </w:tcPr>
          <w:p w14:paraId="5315FD19" w14:textId="1470E30B" w:rsidR="001223AA" w:rsidRPr="003A257F" w:rsidRDefault="001223AA" w:rsidP="001223AA">
            <w:pPr>
              <w:pStyle w:val="CDIFigure-Table-BodyTextCentre"/>
            </w:pPr>
            <w:r w:rsidRPr="003A257F">
              <w:t>655</w:t>
            </w:r>
          </w:p>
        </w:tc>
        <w:tc>
          <w:tcPr>
            <w:tcW w:w="1248" w:type="dxa"/>
            <w:shd w:val="clear" w:color="auto" w:fill="F2F2F2" w:themeFill="background1" w:themeFillShade="F2"/>
            <w:tcMar>
              <w:top w:w="113" w:type="dxa"/>
              <w:left w:w="113" w:type="dxa"/>
              <w:bottom w:w="113" w:type="dxa"/>
              <w:right w:w="113" w:type="dxa"/>
            </w:tcMar>
            <w:vAlign w:val="center"/>
          </w:tcPr>
          <w:p w14:paraId="0D9B94E2" w14:textId="49C2E381" w:rsidR="001223AA" w:rsidRPr="003A257F" w:rsidRDefault="001223AA" w:rsidP="001223AA">
            <w:pPr>
              <w:pStyle w:val="CDIFigure-Table-BodyTextCentre"/>
            </w:pPr>
            <w:r w:rsidRPr="003A257F">
              <w:t>439</w:t>
            </w:r>
          </w:p>
        </w:tc>
        <w:tc>
          <w:tcPr>
            <w:tcW w:w="1190" w:type="dxa"/>
            <w:shd w:val="clear" w:color="auto" w:fill="F2F2F2" w:themeFill="background1" w:themeFillShade="F2"/>
            <w:tcMar>
              <w:top w:w="113" w:type="dxa"/>
              <w:left w:w="113" w:type="dxa"/>
              <w:bottom w:w="113" w:type="dxa"/>
              <w:right w:w="113" w:type="dxa"/>
            </w:tcMar>
            <w:vAlign w:val="center"/>
          </w:tcPr>
          <w:p w14:paraId="24AB4BB0" w14:textId="549EA2C7" w:rsidR="001223AA" w:rsidRPr="003A257F" w:rsidRDefault="001223AA" w:rsidP="001223AA">
            <w:pPr>
              <w:pStyle w:val="CDIFigure-Table-BodyTextCentre"/>
            </w:pPr>
            <w:r w:rsidRPr="003A257F">
              <w:t>570</w:t>
            </w:r>
          </w:p>
        </w:tc>
        <w:tc>
          <w:tcPr>
            <w:tcW w:w="1191" w:type="dxa"/>
            <w:shd w:val="clear" w:color="auto" w:fill="F2F2F2" w:themeFill="background1" w:themeFillShade="F2"/>
            <w:tcMar>
              <w:top w:w="113" w:type="dxa"/>
              <w:left w:w="113" w:type="dxa"/>
              <w:bottom w:w="113" w:type="dxa"/>
              <w:right w:w="113" w:type="dxa"/>
            </w:tcMar>
            <w:vAlign w:val="center"/>
          </w:tcPr>
          <w:p w14:paraId="5A837182" w14:textId="64D7A11B" w:rsidR="001223AA" w:rsidRPr="003A257F" w:rsidRDefault="001223AA" w:rsidP="001223AA">
            <w:pPr>
              <w:pStyle w:val="CDIFigure-Table-BodyTextCentre"/>
            </w:pPr>
            <w:r w:rsidRPr="003A257F">
              <w:t>621</w:t>
            </w:r>
          </w:p>
        </w:tc>
        <w:tc>
          <w:tcPr>
            <w:tcW w:w="1190" w:type="dxa"/>
            <w:shd w:val="clear" w:color="auto" w:fill="F2F2F2" w:themeFill="background1" w:themeFillShade="F2"/>
            <w:tcMar>
              <w:top w:w="113" w:type="dxa"/>
              <w:left w:w="113" w:type="dxa"/>
              <w:bottom w:w="113" w:type="dxa"/>
              <w:right w:w="113" w:type="dxa"/>
            </w:tcMar>
            <w:vAlign w:val="center"/>
          </w:tcPr>
          <w:p w14:paraId="7FA66881" w14:textId="3F4C6977" w:rsidR="001223AA" w:rsidRPr="003A257F" w:rsidRDefault="001223AA" w:rsidP="001223AA">
            <w:pPr>
              <w:pStyle w:val="CDIFigure-Table-BodyTextCentre"/>
            </w:pPr>
            <w:r w:rsidRPr="003A257F">
              <w:t>-13%</w:t>
            </w:r>
          </w:p>
        </w:tc>
        <w:tc>
          <w:tcPr>
            <w:tcW w:w="1191" w:type="dxa"/>
            <w:shd w:val="clear" w:color="auto" w:fill="F2F2F2" w:themeFill="background1" w:themeFillShade="F2"/>
            <w:tcMar>
              <w:top w:w="113" w:type="dxa"/>
              <w:left w:w="113" w:type="dxa"/>
              <w:bottom w:w="113" w:type="dxa"/>
              <w:right w:w="113" w:type="dxa"/>
            </w:tcMar>
            <w:vAlign w:val="center"/>
          </w:tcPr>
          <w:p w14:paraId="2E042CBA" w14:textId="7176E035" w:rsidR="001223AA" w:rsidRPr="003A257F" w:rsidRDefault="001223AA" w:rsidP="001223AA">
            <w:pPr>
              <w:pStyle w:val="CDIFigure-Table-BodyTextCentre"/>
            </w:pPr>
            <w:r w:rsidRPr="003A257F">
              <w:t>30%</w:t>
            </w:r>
          </w:p>
        </w:tc>
        <w:tc>
          <w:tcPr>
            <w:tcW w:w="1190" w:type="dxa"/>
            <w:shd w:val="clear" w:color="auto" w:fill="F2F2F2" w:themeFill="background1" w:themeFillShade="F2"/>
            <w:tcMar>
              <w:top w:w="113" w:type="dxa"/>
              <w:left w:w="113" w:type="dxa"/>
              <w:bottom w:w="113" w:type="dxa"/>
              <w:right w:w="113" w:type="dxa"/>
            </w:tcMar>
            <w:vAlign w:val="center"/>
          </w:tcPr>
          <w:p w14:paraId="7134ABD1" w14:textId="78843342" w:rsidR="001223AA" w:rsidRPr="003A257F" w:rsidRDefault="001223AA" w:rsidP="001223AA">
            <w:pPr>
              <w:pStyle w:val="CDIFigure-Table-BodyTextCentre"/>
            </w:pPr>
            <w:r w:rsidRPr="003A257F">
              <w:t>-5%</w:t>
            </w:r>
          </w:p>
        </w:tc>
        <w:tc>
          <w:tcPr>
            <w:tcW w:w="1134" w:type="dxa"/>
            <w:shd w:val="clear" w:color="auto" w:fill="F2F2F2" w:themeFill="background1" w:themeFillShade="F2"/>
            <w:tcMar>
              <w:top w:w="113" w:type="dxa"/>
              <w:left w:w="113" w:type="dxa"/>
              <w:bottom w:w="113" w:type="dxa"/>
              <w:right w:w="113" w:type="dxa"/>
            </w:tcMar>
            <w:vAlign w:val="center"/>
          </w:tcPr>
          <w:p w14:paraId="0CB05F60" w14:textId="02AF5B4C" w:rsidR="001223AA" w:rsidRPr="003A257F" w:rsidRDefault="001223AA" w:rsidP="001223AA">
            <w:pPr>
              <w:pStyle w:val="CDIFigure-Table-BodyTextCentre"/>
            </w:pPr>
            <w:r w:rsidRPr="003A257F">
              <w:t>42%</w:t>
            </w:r>
          </w:p>
        </w:tc>
      </w:tr>
      <w:tr w:rsidR="001223AA" w:rsidRPr="003A257F" w14:paraId="1F411D67"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70F5075" w14:textId="77777777" w:rsidR="001223AA" w:rsidRPr="003A257F" w:rsidRDefault="001223AA" w:rsidP="001223AA">
            <w:pPr>
              <w:pStyle w:val="CDIFigure-Table-BodyTextLeft"/>
            </w:pPr>
          </w:p>
        </w:tc>
        <w:tc>
          <w:tcPr>
            <w:tcW w:w="3345" w:type="dxa"/>
            <w:tcBorders>
              <w:bottom w:val="single" w:sz="4" w:space="0" w:color="033636" w:themeColor="text2"/>
            </w:tcBorders>
            <w:shd w:val="clear" w:color="auto" w:fill="auto"/>
            <w:tcMar>
              <w:top w:w="113" w:type="dxa"/>
              <w:left w:w="113" w:type="dxa"/>
              <w:bottom w:w="113" w:type="dxa"/>
              <w:right w:w="113" w:type="dxa"/>
            </w:tcMar>
            <w:vAlign w:val="center"/>
          </w:tcPr>
          <w:p w14:paraId="218E89A6" w14:textId="0CF54387" w:rsidR="001223AA" w:rsidRPr="003A257F" w:rsidRDefault="001223AA" w:rsidP="001223AA">
            <w:pPr>
              <w:pStyle w:val="CDIFigure-Table-BodyTextLeft"/>
            </w:pPr>
            <w:r w:rsidRPr="003A257F">
              <w:t>Typhoid fever</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74436391" w14:textId="382C54E1" w:rsidR="001223AA" w:rsidRPr="003A257F" w:rsidRDefault="001223AA" w:rsidP="001223AA">
            <w:pPr>
              <w:pStyle w:val="CDIFigure-Table-BodyTextCentre"/>
            </w:pPr>
            <w:r w:rsidRPr="003A257F">
              <w:t>202</w:t>
            </w:r>
          </w:p>
        </w:tc>
        <w:tc>
          <w:tcPr>
            <w:tcW w:w="1248" w:type="dxa"/>
            <w:tcBorders>
              <w:bottom w:val="single" w:sz="4" w:space="0" w:color="033636" w:themeColor="text2"/>
            </w:tcBorders>
            <w:shd w:val="clear" w:color="auto" w:fill="auto"/>
            <w:tcMar>
              <w:top w:w="113" w:type="dxa"/>
              <w:left w:w="113" w:type="dxa"/>
              <w:bottom w:w="113" w:type="dxa"/>
              <w:right w:w="113" w:type="dxa"/>
            </w:tcMar>
            <w:vAlign w:val="center"/>
          </w:tcPr>
          <w:p w14:paraId="584FAFB4" w14:textId="17C1167B" w:rsidR="001223AA" w:rsidRPr="003A257F" w:rsidRDefault="001223AA" w:rsidP="001223AA">
            <w:pPr>
              <w:pStyle w:val="CDIFigure-Table-BodyTextCentre"/>
            </w:pPr>
            <w:r w:rsidRPr="003A257F">
              <w:t>148</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04147A50" w14:textId="65881EE2" w:rsidR="001223AA" w:rsidRPr="003A257F" w:rsidRDefault="001223AA" w:rsidP="001223AA">
            <w:pPr>
              <w:pStyle w:val="CDIFigure-Table-BodyTextCentre"/>
            </w:pPr>
            <w:r w:rsidRPr="003A257F">
              <w:t>88</w:t>
            </w:r>
          </w:p>
        </w:tc>
        <w:tc>
          <w:tcPr>
            <w:tcW w:w="1191" w:type="dxa"/>
            <w:tcBorders>
              <w:bottom w:val="single" w:sz="4" w:space="0" w:color="033636" w:themeColor="text2"/>
            </w:tcBorders>
            <w:shd w:val="clear" w:color="auto" w:fill="auto"/>
            <w:tcMar>
              <w:top w:w="113" w:type="dxa"/>
              <w:left w:w="113" w:type="dxa"/>
              <w:bottom w:w="113" w:type="dxa"/>
              <w:right w:w="113" w:type="dxa"/>
            </w:tcMar>
            <w:vAlign w:val="center"/>
          </w:tcPr>
          <w:p w14:paraId="20A51473" w14:textId="3215B8C4" w:rsidR="001223AA" w:rsidRPr="003A257F" w:rsidRDefault="001223AA" w:rsidP="001223AA">
            <w:pPr>
              <w:pStyle w:val="CDIFigure-Table-BodyTextCentre"/>
            </w:pPr>
            <w:r w:rsidRPr="003A257F">
              <w:t>16</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780E3AE5" w14:textId="065E09EE" w:rsidR="001223AA" w:rsidRPr="003A257F" w:rsidRDefault="001223AA" w:rsidP="001223AA">
            <w:pPr>
              <w:pStyle w:val="CDIFigure-Table-BodyTextCentre"/>
            </w:pPr>
            <w:r w:rsidRPr="003A257F">
              <w:t>-56%</w:t>
            </w:r>
          </w:p>
        </w:tc>
        <w:tc>
          <w:tcPr>
            <w:tcW w:w="1191" w:type="dxa"/>
            <w:tcBorders>
              <w:bottom w:val="single" w:sz="4" w:space="0" w:color="033636" w:themeColor="text2"/>
            </w:tcBorders>
            <w:shd w:val="clear" w:color="auto" w:fill="auto"/>
            <w:tcMar>
              <w:top w:w="113" w:type="dxa"/>
              <w:left w:w="113" w:type="dxa"/>
              <w:bottom w:w="113" w:type="dxa"/>
              <w:right w:w="113" w:type="dxa"/>
            </w:tcMar>
            <w:vAlign w:val="center"/>
          </w:tcPr>
          <w:p w14:paraId="54F64918" w14:textId="60AF90F4" w:rsidR="001223AA" w:rsidRPr="003A257F" w:rsidRDefault="001223AA" w:rsidP="001223AA">
            <w:pPr>
              <w:pStyle w:val="CDIFigure-Table-BodyTextCentre"/>
            </w:pPr>
            <w:r w:rsidRPr="003A257F">
              <w:t>-41%</w:t>
            </w:r>
          </w:p>
        </w:tc>
        <w:tc>
          <w:tcPr>
            <w:tcW w:w="1190" w:type="dxa"/>
            <w:tcBorders>
              <w:bottom w:val="single" w:sz="4" w:space="0" w:color="033636" w:themeColor="text2"/>
            </w:tcBorders>
            <w:shd w:val="clear" w:color="auto" w:fill="auto"/>
            <w:tcMar>
              <w:top w:w="113" w:type="dxa"/>
              <w:left w:w="113" w:type="dxa"/>
              <w:bottom w:w="113" w:type="dxa"/>
              <w:right w:w="113" w:type="dxa"/>
            </w:tcMar>
            <w:vAlign w:val="center"/>
          </w:tcPr>
          <w:p w14:paraId="075EF8C3" w14:textId="4A58C1E6" w:rsidR="001223AA" w:rsidRPr="003A257F" w:rsidRDefault="001223AA" w:rsidP="001223AA">
            <w:pPr>
              <w:pStyle w:val="CDIFigure-Table-BodyTextCentre"/>
            </w:pPr>
            <w:r w:rsidRPr="003A257F">
              <w:t>-92%</w:t>
            </w:r>
          </w:p>
        </w:tc>
        <w:tc>
          <w:tcPr>
            <w:tcW w:w="1134" w:type="dxa"/>
            <w:tcBorders>
              <w:bottom w:val="single" w:sz="4" w:space="0" w:color="033636" w:themeColor="text2"/>
            </w:tcBorders>
            <w:shd w:val="clear" w:color="auto" w:fill="auto"/>
            <w:tcMar>
              <w:top w:w="113" w:type="dxa"/>
              <w:left w:w="113" w:type="dxa"/>
              <w:bottom w:w="113" w:type="dxa"/>
              <w:right w:w="113" w:type="dxa"/>
            </w:tcMar>
            <w:vAlign w:val="center"/>
          </w:tcPr>
          <w:p w14:paraId="6179F88D" w14:textId="4A13658D" w:rsidR="001223AA" w:rsidRPr="003A257F" w:rsidRDefault="001223AA" w:rsidP="001223AA">
            <w:pPr>
              <w:pStyle w:val="CDIFigure-Table-BodyTextCentre"/>
            </w:pPr>
            <w:r w:rsidRPr="003A257F">
              <w:t>-89%</w:t>
            </w:r>
          </w:p>
        </w:tc>
      </w:tr>
      <w:tr w:rsidR="001E6632" w:rsidRPr="003A257F" w14:paraId="5315CBE9" w14:textId="77777777" w:rsidTr="001223AA">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C403AFE" w14:textId="77777777" w:rsidR="003A257F" w:rsidRPr="003A257F" w:rsidRDefault="003A257F" w:rsidP="001E6632">
            <w:pPr>
              <w:pStyle w:val="CDIFigure-Table-BodyTextLeft"/>
            </w:pPr>
            <w:r w:rsidRPr="003A257F">
              <w:t>Other bacterial diseases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241CC8" w14:textId="77777777" w:rsidR="003A257F" w:rsidRPr="003A257F" w:rsidRDefault="003A257F" w:rsidP="001E6632">
            <w:pPr>
              <w:pStyle w:val="CDIFigure-Table-BodyTextLeft"/>
            </w:pPr>
            <w:r w:rsidRPr="003A257F">
              <w:t>Legionellosis</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70FDE5" w14:textId="77777777" w:rsidR="003A257F" w:rsidRPr="003A257F" w:rsidRDefault="003A257F" w:rsidP="001E6632">
            <w:pPr>
              <w:pStyle w:val="CDIFigure-Table-BodyTextCentre"/>
            </w:pPr>
            <w:r w:rsidRPr="003A257F">
              <w:t>440</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C920D8" w14:textId="77777777" w:rsidR="003A257F" w:rsidRPr="003A257F" w:rsidRDefault="003A257F" w:rsidP="001E6632">
            <w:pPr>
              <w:pStyle w:val="CDIFigure-Table-BodyTextCentre"/>
            </w:pPr>
            <w:r w:rsidRPr="003A257F">
              <w:t>401</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FDD278" w14:textId="77777777" w:rsidR="003A257F" w:rsidRPr="003A257F" w:rsidRDefault="003A257F" w:rsidP="001E6632">
            <w:pPr>
              <w:pStyle w:val="CDIFigure-Table-BodyTextCentre"/>
            </w:pPr>
            <w:r w:rsidRPr="003A257F">
              <w:t>527</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7FEA75" w14:textId="77777777" w:rsidR="003A257F" w:rsidRPr="003A257F" w:rsidRDefault="003A257F" w:rsidP="001E6632">
            <w:pPr>
              <w:pStyle w:val="CDIFigure-Table-BodyTextCentre"/>
            </w:pPr>
            <w:r w:rsidRPr="003A257F">
              <w:t>574</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52726E" w14:textId="77777777" w:rsidR="003A257F" w:rsidRPr="003A257F" w:rsidRDefault="003A257F" w:rsidP="001E6632">
            <w:pPr>
              <w:pStyle w:val="CDIFigure-Table-BodyTextCentre"/>
            </w:pPr>
            <w:r w:rsidRPr="003A257F">
              <w:t>20%</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FCBD53" w14:textId="77777777" w:rsidR="003A257F" w:rsidRPr="003A257F" w:rsidRDefault="003A257F" w:rsidP="001E6632">
            <w:pPr>
              <w:pStyle w:val="CDIFigure-Table-BodyTextCentre"/>
            </w:pPr>
            <w:r w:rsidRPr="003A257F">
              <w:t>31%</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F81169" w14:textId="77777777" w:rsidR="003A257F" w:rsidRPr="003A257F" w:rsidRDefault="003A257F" w:rsidP="001E6632">
            <w:pPr>
              <w:pStyle w:val="CDIFigure-Table-BodyTextCentre"/>
            </w:pPr>
            <w:r w:rsidRPr="003A257F">
              <w:t>30%</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C0D770" w14:textId="77777777" w:rsidR="003A257F" w:rsidRPr="003A257F" w:rsidRDefault="003A257F" w:rsidP="001E6632">
            <w:pPr>
              <w:pStyle w:val="CDIFigure-Table-BodyTextCentre"/>
            </w:pPr>
            <w:r w:rsidRPr="003A257F">
              <w:t>43%</w:t>
            </w:r>
          </w:p>
        </w:tc>
      </w:tr>
      <w:tr w:rsidR="003A257F" w:rsidRPr="003A257F" w14:paraId="221622F0"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063C9CF7" w14:textId="77777777" w:rsidR="003A257F" w:rsidRPr="003A257F" w:rsidRDefault="003A257F" w:rsidP="001E6632">
            <w:pPr>
              <w:pStyle w:val="CDIFigure-Table-BodyTextLeft"/>
            </w:pPr>
          </w:p>
        </w:tc>
        <w:tc>
          <w:tcPr>
            <w:tcW w:w="3345" w:type="dxa"/>
            <w:tcMar>
              <w:top w:w="113" w:type="dxa"/>
              <w:left w:w="113" w:type="dxa"/>
              <w:bottom w:w="113" w:type="dxa"/>
              <w:right w:w="113" w:type="dxa"/>
            </w:tcMar>
            <w:vAlign w:val="center"/>
          </w:tcPr>
          <w:p w14:paraId="5E5E51BF" w14:textId="77777777" w:rsidR="003A257F" w:rsidRPr="003A257F" w:rsidRDefault="003A257F" w:rsidP="001E6632">
            <w:pPr>
              <w:pStyle w:val="CDIFigure-Table-BodyTextLeft"/>
            </w:pPr>
            <w:r w:rsidRPr="003A257F">
              <w:t>Leprosy</w:t>
            </w:r>
          </w:p>
        </w:tc>
        <w:tc>
          <w:tcPr>
            <w:tcW w:w="1190" w:type="dxa"/>
            <w:tcMar>
              <w:top w:w="113" w:type="dxa"/>
              <w:left w:w="113" w:type="dxa"/>
              <w:bottom w:w="113" w:type="dxa"/>
              <w:right w:w="113" w:type="dxa"/>
            </w:tcMar>
            <w:vAlign w:val="center"/>
          </w:tcPr>
          <w:p w14:paraId="6372F80F" w14:textId="77777777" w:rsidR="003A257F" w:rsidRPr="003A257F" w:rsidRDefault="003A257F" w:rsidP="001E6632">
            <w:pPr>
              <w:pStyle w:val="CDIFigure-Table-BodyTextCentre"/>
            </w:pPr>
            <w:r w:rsidRPr="003A257F">
              <w:t>10</w:t>
            </w:r>
          </w:p>
        </w:tc>
        <w:tc>
          <w:tcPr>
            <w:tcW w:w="1248" w:type="dxa"/>
            <w:tcMar>
              <w:top w:w="113" w:type="dxa"/>
              <w:left w:w="113" w:type="dxa"/>
              <w:bottom w:w="113" w:type="dxa"/>
              <w:right w:w="113" w:type="dxa"/>
            </w:tcMar>
            <w:vAlign w:val="center"/>
          </w:tcPr>
          <w:p w14:paraId="4CA331F6" w14:textId="77777777" w:rsidR="003A257F" w:rsidRPr="003A257F" w:rsidRDefault="003A257F" w:rsidP="001E6632">
            <w:pPr>
              <w:pStyle w:val="CDIFigure-Table-BodyTextCentre"/>
            </w:pPr>
            <w:r w:rsidRPr="003A257F">
              <w:t>12</w:t>
            </w:r>
          </w:p>
        </w:tc>
        <w:tc>
          <w:tcPr>
            <w:tcW w:w="1190" w:type="dxa"/>
            <w:tcMar>
              <w:top w:w="113" w:type="dxa"/>
              <w:left w:w="113" w:type="dxa"/>
              <w:bottom w:w="113" w:type="dxa"/>
              <w:right w:w="113" w:type="dxa"/>
            </w:tcMar>
            <w:vAlign w:val="center"/>
          </w:tcPr>
          <w:p w14:paraId="2BC09464" w14:textId="77777777" w:rsidR="003A257F" w:rsidRPr="003A257F" w:rsidRDefault="003A257F" w:rsidP="001E6632">
            <w:pPr>
              <w:pStyle w:val="CDIFigure-Table-BodyTextCentre"/>
            </w:pPr>
            <w:r w:rsidRPr="003A257F">
              <w:t>6</w:t>
            </w:r>
          </w:p>
        </w:tc>
        <w:tc>
          <w:tcPr>
            <w:tcW w:w="1191" w:type="dxa"/>
            <w:tcMar>
              <w:top w:w="113" w:type="dxa"/>
              <w:left w:w="113" w:type="dxa"/>
              <w:bottom w:w="113" w:type="dxa"/>
              <w:right w:w="113" w:type="dxa"/>
            </w:tcMar>
            <w:vAlign w:val="center"/>
          </w:tcPr>
          <w:p w14:paraId="16099AFF" w14:textId="77777777" w:rsidR="003A257F" w:rsidRPr="003A257F" w:rsidRDefault="003A257F" w:rsidP="001E6632">
            <w:pPr>
              <w:pStyle w:val="CDIFigure-Table-BodyTextCentre"/>
            </w:pPr>
            <w:r w:rsidRPr="003A257F">
              <w:t>13</w:t>
            </w:r>
          </w:p>
        </w:tc>
        <w:tc>
          <w:tcPr>
            <w:tcW w:w="1190" w:type="dxa"/>
            <w:tcMar>
              <w:top w:w="113" w:type="dxa"/>
              <w:left w:w="113" w:type="dxa"/>
              <w:bottom w:w="113" w:type="dxa"/>
              <w:right w:w="113" w:type="dxa"/>
            </w:tcMar>
            <w:vAlign w:val="center"/>
          </w:tcPr>
          <w:p w14:paraId="098BD3E0" w14:textId="77777777" w:rsidR="003A257F" w:rsidRPr="003A257F" w:rsidRDefault="003A257F" w:rsidP="001E6632">
            <w:pPr>
              <w:pStyle w:val="CDIFigure-Table-BodyTextCentre"/>
            </w:pPr>
            <w:r w:rsidRPr="003A257F">
              <w:t>-40%</w:t>
            </w:r>
          </w:p>
        </w:tc>
        <w:tc>
          <w:tcPr>
            <w:tcW w:w="1191" w:type="dxa"/>
            <w:tcMar>
              <w:top w:w="113" w:type="dxa"/>
              <w:left w:w="113" w:type="dxa"/>
              <w:bottom w:w="113" w:type="dxa"/>
              <w:right w:w="113" w:type="dxa"/>
            </w:tcMar>
            <w:vAlign w:val="center"/>
          </w:tcPr>
          <w:p w14:paraId="544BE46F" w14:textId="77777777" w:rsidR="003A257F" w:rsidRPr="003A257F" w:rsidRDefault="003A257F" w:rsidP="001E6632">
            <w:pPr>
              <w:pStyle w:val="CDIFigure-Table-BodyTextCentre"/>
            </w:pPr>
            <w:r w:rsidRPr="003A257F">
              <w:t>-50%</w:t>
            </w:r>
          </w:p>
        </w:tc>
        <w:tc>
          <w:tcPr>
            <w:tcW w:w="1190" w:type="dxa"/>
            <w:tcMar>
              <w:top w:w="113" w:type="dxa"/>
              <w:left w:w="113" w:type="dxa"/>
              <w:bottom w:w="113" w:type="dxa"/>
              <w:right w:w="113" w:type="dxa"/>
            </w:tcMar>
            <w:vAlign w:val="center"/>
          </w:tcPr>
          <w:p w14:paraId="7E8748AB" w14:textId="77777777" w:rsidR="003A257F" w:rsidRPr="003A257F" w:rsidRDefault="003A257F" w:rsidP="001E6632">
            <w:pPr>
              <w:pStyle w:val="CDIFigure-Table-BodyTextCentre"/>
            </w:pPr>
            <w:r w:rsidRPr="003A257F">
              <w:t>30%</w:t>
            </w:r>
          </w:p>
        </w:tc>
        <w:tc>
          <w:tcPr>
            <w:tcW w:w="1134" w:type="dxa"/>
            <w:tcMar>
              <w:top w:w="113" w:type="dxa"/>
              <w:left w:w="113" w:type="dxa"/>
              <w:bottom w:w="113" w:type="dxa"/>
              <w:right w:w="113" w:type="dxa"/>
            </w:tcMar>
            <w:vAlign w:val="center"/>
          </w:tcPr>
          <w:p w14:paraId="26FBB9DD" w14:textId="77777777" w:rsidR="003A257F" w:rsidRPr="003A257F" w:rsidRDefault="003A257F" w:rsidP="001E6632">
            <w:pPr>
              <w:pStyle w:val="CDIFigure-Table-BodyTextCentre"/>
            </w:pPr>
            <w:r w:rsidRPr="003A257F">
              <w:t>8%</w:t>
            </w:r>
          </w:p>
        </w:tc>
      </w:tr>
      <w:tr w:rsidR="001E6632" w:rsidRPr="003A257F" w14:paraId="79C185D3"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464707E3" w14:textId="77777777" w:rsidR="003A257F" w:rsidRPr="003A257F" w:rsidRDefault="003A257F" w:rsidP="001E6632">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2E0659DF" w14:textId="77777777" w:rsidR="003A257F" w:rsidRPr="003A257F" w:rsidRDefault="003A257F" w:rsidP="001E6632">
            <w:pPr>
              <w:pStyle w:val="CDIFigure-Table-BodyTextLeft"/>
            </w:pPr>
            <w:r w:rsidRPr="003A257F">
              <w:t>Meningococcal disease (invasive)</w:t>
            </w:r>
          </w:p>
        </w:tc>
        <w:tc>
          <w:tcPr>
            <w:tcW w:w="1190" w:type="dxa"/>
            <w:shd w:val="clear" w:color="auto" w:fill="F2F2F2" w:themeFill="background1" w:themeFillShade="F2"/>
            <w:tcMar>
              <w:top w:w="113" w:type="dxa"/>
              <w:left w:w="113" w:type="dxa"/>
              <w:bottom w:w="113" w:type="dxa"/>
              <w:right w:w="113" w:type="dxa"/>
            </w:tcMar>
            <w:vAlign w:val="center"/>
          </w:tcPr>
          <w:p w14:paraId="44B281A6" w14:textId="77777777" w:rsidR="003A257F" w:rsidRPr="003A257F" w:rsidRDefault="003A257F" w:rsidP="001E6632">
            <w:pPr>
              <w:pStyle w:val="CDIFigure-Table-BodyTextCentre"/>
            </w:pPr>
            <w:r w:rsidRPr="003A257F">
              <w:t>207</w:t>
            </w:r>
          </w:p>
        </w:tc>
        <w:tc>
          <w:tcPr>
            <w:tcW w:w="1248" w:type="dxa"/>
            <w:shd w:val="clear" w:color="auto" w:fill="F2F2F2" w:themeFill="background1" w:themeFillShade="F2"/>
            <w:tcMar>
              <w:top w:w="113" w:type="dxa"/>
              <w:left w:w="113" w:type="dxa"/>
              <w:bottom w:w="113" w:type="dxa"/>
              <w:right w:w="113" w:type="dxa"/>
            </w:tcMar>
            <w:vAlign w:val="center"/>
          </w:tcPr>
          <w:p w14:paraId="0F249BA5" w14:textId="77777777" w:rsidR="003A257F" w:rsidRPr="003A257F" w:rsidRDefault="003A257F" w:rsidP="001E6632">
            <w:pPr>
              <w:pStyle w:val="CDIFigure-Table-BodyTextCentre"/>
            </w:pPr>
            <w:r w:rsidRPr="003A257F">
              <w:t>260</w:t>
            </w:r>
          </w:p>
        </w:tc>
        <w:tc>
          <w:tcPr>
            <w:tcW w:w="1190" w:type="dxa"/>
            <w:shd w:val="clear" w:color="auto" w:fill="F2F2F2" w:themeFill="background1" w:themeFillShade="F2"/>
            <w:tcMar>
              <w:top w:w="113" w:type="dxa"/>
              <w:left w:w="113" w:type="dxa"/>
              <w:bottom w:w="113" w:type="dxa"/>
              <w:right w:w="113" w:type="dxa"/>
            </w:tcMar>
            <w:vAlign w:val="center"/>
          </w:tcPr>
          <w:p w14:paraId="0A73B05B" w14:textId="77777777" w:rsidR="003A257F" w:rsidRPr="003A257F" w:rsidRDefault="003A257F" w:rsidP="001E6632">
            <w:pPr>
              <w:pStyle w:val="CDIFigure-Table-BodyTextCentre"/>
            </w:pPr>
            <w:r w:rsidRPr="003A257F">
              <w:t>90</w:t>
            </w:r>
          </w:p>
        </w:tc>
        <w:tc>
          <w:tcPr>
            <w:tcW w:w="1191" w:type="dxa"/>
            <w:shd w:val="clear" w:color="auto" w:fill="F2F2F2" w:themeFill="background1" w:themeFillShade="F2"/>
            <w:tcMar>
              <w:top w:w="113" w:type="dxa"/>
              <w:left w:w="113" w:type="dxa"/>
              <w:bottom w:w="113" w:type="dxa"/>
              <w:right w:w="113" w:type="dxa"/>
            </w:tcMar>
            <w:vAlign w:val="center"/>
          </w:tcPr>
          <w:p w14:paraId="13415B5E" w14:textId="77777777" w:rsidR="003A257F" w:rsidRPr="003A257F" w:rsidRDefault="003A257F" w:rsidP="001E6632">
            <w:pPr>
              <w:pStyle w:val="CDIFigure-Table-BodyTextCentre"/>
            </w:pPr>
            <w:r w:rsidRPr="003A257F">
              <w:t>74</w:t>
            </w:r>
          </w:p>
        </w:tc>
        <w:tc>
          <w:tcPr>
            <w:tcW w:w="1190" w:type="dxa"/>
            <w:shd w:val="clear" w:color="auto" w:fill="F2F2F2" w:themeFill="background1" w:themeFillShade="F2"/>
            <w:tcMar>
              <w:top w:w="113" w:type="dxa"/>
              <w:left w:w="113" w:type="dxa"/>
              <w:bottom w:w="113" w:type="dxa"/>
              <w:right w:w="113" w:type="dxa"/>
            </w:tcMar>
            <w:vAlign w:val="center"/>
          </w:tcPr>
          <w:p w14:paraId="4D5AE37D" w14:textId="77777777" w:rsidR="003A257F" w:rsidRPr="003A257F" w:rsidRDefault="003A257F" w:rsidP="001E6632">
            <w:pPr>
              <w:pStyle w:val="CDIFigure-Table-BodyTextCentre"/>
            </w:pPr>
            <w:r w:rsidRPr="003A257F">
              <w:t>-57%</w:t>
            </w:r>
          </w:p>
        </w:tc>
        <w:tc>
          <w:tcPr>
            <w:tcW w:w="1191" w:type="dxa"/>
            <w:shd w:val="clear" w:color="auto" w:fill="F2F2F2" w:themeFill="background1" w:themeFillShade="F2"/>
            <w:tcMar>
              <w:top w:w="113" w:type="dxa"/>
              <w:left w:w="113" w:type="dxa"/>
              <w:bottom w:w="113" w:type="dxa"/>
              <w:right w:w="113" w:type="dxa"/>
            </w:tcMar>
            <w:vAlign w:val="center"/>
          </w:tcPr>
          <w:p w14:paraId="32D6110C" w14:textId="77777777" w:rsidR="003A257F" w:rsidRPr="003A257F" w:rsidRDefault="003A257F" w:rsidP="001E6632">
            <w:pPr>
              <w:pStyle w:val="CDIFigure-Table-BodyTextCentre"/>
            </w:pPr>
            <w:r w:rsidRPr="003A257F">
              <w:t>-65%</w:t>
            </w:r>
          </w:p>
        </w:tc>
        <w:tc>
          <w:tcPr>
            <w:tcW w:w="1190" w:type="dxa"/>
            <w:shd w:val="clear" w:color="auto" w:fill="F2F2F2" w:themeFill="background1" w:themeFillShade="F2"/>
            <w:tcMar>
              <w:top w:w="113" w:type="dxa"/>
              <w:left w:w="113" w:type="dxa"/>
              <w:bottom w:w="113" w:type="dxa"/>
              <w:right w:w="113" w:type="dxa"/>
            </w:tcMar>
            <w:vAlign w:val="center"/>
          </w:tcPr>
          <w:p w14:paraId="5958BCA5" w14:textId="77777777" w:rsidR="003A257F" w:rsidRPr="003A257F" w:rsidRDefault="003A257F" w:rsidP="001E6632">
            <w:pPr>
              <w:pStyle w:val="CDIFigure-Table-BodyTextCentre"/>
            </w:pPr>
            <w:r w:rsidRPr="003A257F">
              <w:t>-64%</w:t>
            </w:r>
          </w:p>
        </w:tc>
        <w:tc>
          <w:tcPr>
            <w:tcW w:w="1134" w:type="dxa"/>
            <w:shd w:val="clear" w:color="auto" w:fill="F2F2F2" w:themeFill="background1" w:themeFillShade="F2"/>
            <w:tcMar>
              <w:top w:w="113" w:type="dxa"/>
              <w:left w:w="113" w:type="dxa"/>
              <w:bottom w:w="113" w:type="dxa"/>
              <w:right w:w="113" w:type="dxa"/>
            </w:tcMar>
            <w:vAlign w:val="center"/>
          </w:tcPr>
          <w:p w14:paraId="3C49E420" w14:textId="77777777" w:rsidR="003A257F" w:rsidRPr="003A257F" w:rsidRDefault="003A257F" w:rsidP="001E6632">
            <w:pPr>
              <w:pStyle w:val="CDIFigure-Table-BodyTextCentre"/>
            </w:pPr>
            <w:r w:rsidRPr="003A257F">
              <w:t>-72%</w:t>
            </w:r>
          </w:p>
        </w:tc>
      </w:tr>
      <w:tr w:rsidR="003A257F" w:rsidRPr="003A257F" w14:paraId="288CA644"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1037E691" w14:textId="77777777" w:rsidR="003A257F" w:rsidRPr="003A257F" w:rsidRDefault="003A257F" w:rsidP="001E6632">
            <w:pPr>
              <w:pStyle w:val="CDIFigure-Table-BodyTextLeft"/>
            </w:pPr>
          </w:p>
        </w:tc>
        <w:tc>
          <w:tcPr>
            <w:tcW w:w="3345" w:type="dxa"/>
            <w:tcBorders>
              <w:bottom w:val="single" w:sz="4" w:space="0" w:color="033636" w:themeColor="text2"/>
            </w:tcBorders>
            <w:tcMar>
              <w:top w:w="113" w:type="dxa"/>
              <w:left w:w="113" w:type="dxa"/>
              <w:bottom w:w="113" w:type="dxa"/>
              <w:right w:w="113" w:type="dxa"/>
            </w:tcMar>
            <w:vAlign w:val="center"/>
          </w:tcPr>
          <w:p w14:paraId="4B950657" w14:textId="77777777" w:rsidR="003A257F" w:rsidRPr="003A257F" w:rsidRDefault="003A257F" w:rsidP="001E6632">
            <w:pPr>
              <w:pStyle w:val="CDIFigure-Table-BodyTextLeft"/>
            </w:pPr>
            <w:r w:rsidRPr="003A257F">
              <w:t>Tuberculosis</w:t>
            </w:r>
          </w:p>
        </w:tc>
        <w:tc>
          <w:tcPr>
            <w:tcW w:w="1190" w:type="dxa"/>
            <w:tcBorders>
              <w:bottom w:val="single" w:sz="4" w:space="0" w:color="033636" w:themeColor="text2"/>
            </w:tcBorders>
            <w:tcMar>
              <w:top w:w="113" w:type="dxa"/>
              <w:left w:w="113" w:type="dxa"/>
              <w:bottom w:w="113" w:type="dxa"/>
              <w:right w:w="113" w:type="dxa"/>
            </w:tcMar>
            <w:vAlign w:val="center"/>
          </w:tcPr>
          <w:p w14:paraId="2F212441" w14:textId="77777777" w:rsidR="003A257F" w:rsidRPr="003A257F" w:rsidRDefault="003A257F" w:rsidP="001E6632">
            <w:pPr>
              <w:pStyle w:val="CDIFigure-Table-BodyTextCentre"/>
            </w:pPr>
            <w:r w:rsidRPr="003A257F">
              <w:t>1,511</w:t>
            </w:r>
          </w:p>
        </w:tc>
        <w:tc>
          <w:tcPr>
            <w:tcW w:w="1248" w:type="dxa"/>
            <w:tcBorders>
              <w:bottom w:val="single" w:sz="4" w:space="0" w:color="033636" w:themeColor="text2"/>
            </w:tcBorders>
            <w:tcMar>
              <w:top w:w="113" w:type="dxa"/>
              <w:left w:w="113" w:type="dxa"/>
              <w:bottom w:w="113" w:type="dxa"/>
              <w:right w:w="113" w:type="dxa"/>
            </w:tcMar>
            <w:vAlign w:val="center"/>
          </w:tcPr>
          <w:p w14:paraId="257893A1" w14:textId="77777777" w:rsidR="003A257F" w:rsidRPr="003A257F" w:rsidRDefault="003A257F" w:rsidP="001E6632">
            <w:pPr>
              <w:pStyle w:val="CDIFigure-Table-BodyTextCentre"/>
            </w:pPr>
            <w:r w:rsidRPr="003A257F">
              <w:t>1,400</w:t>
            </w:r>
          </w:p>
        </w:tc>
        <w:tc>
          <w:tcPr>
            <w:tcW w:w="1190" w:type="dxa"/>
            <w:tcBorders>
              <w:bottom w:val="single" w:sz="4" w:space="0" w:color="033636" w:themeColor="text2"/>
            </w:tcBorders>
            <w:tcMar>
              <w:top w:w="113" w:type="dxa"/>
              <w:left w:w="113" w:type="dxa"/>
              <w:bottom w:w="113" w:type="dxa"/>
              <w:right w:w="113" w:type="dxa"/>
            </w:tcMar>
            <w:vAlign w:val="center"/>
          </w:tcPr>
          <w:p w14:paraId="1DC43BF1" w14:textId="77777777" w:rsidR="003A257F" w:rsidRPr="003A257F" w:rsidRDefault="003A257F" w:rsidP="001E6632">
            <w:pPr>
              <w:pStyle w:val="CDIFigure-Table-BodyTextCentre"/>
            </w:pPr>
            <w:r w:rsidRPr="003A257F">
              <w:t>1,612</w:t>
            </w:r>
          </w:p>
        </w:tc>
        <w:tc>
          <w:tcPr>
            <w:tcW w:w="1191" w:type="dxa"/>
            <w:tcBorders>
              <w:bottom w:val="single" w:sz="4" w:space="0" w:color="033636" w:themeColor="text2"/>
            </w:tcBorders>
            <w:tcMar>
              <w:top w:w="113" w:type="dxa"/>
              <w:left w:w="113" w:type="dxa"/>
              <w:bottom w:w="113" w:type="dxa"/>
              <w:right w:w="113" w:type="dxa"/>
            </w:tcMar>
            <w:vAlign w:val="center"/>
          </w:tcPr>
          <w:p w14:paraId="0C3C45B9" w14:textId="77777777" w:rsidR="003A257F" w:rsidRPr="003A257F" w:rsidRDefault="003A257F" w:rsidP="001E6632">
            <w:pPr>
              <w:pStyle w:val="CDIFigure-Table-BodyTextCentre"/>
            </w:pPr>
            <w:r w:rsidRPr="003A257F">
              <w:t>1,452</w:t>
            </w:r>
          </w:p>
        </w:tc>
        <w:tc>
          <w:tcPr>
            <w:tcW w:w="1190" w:type="dxa"/>
            <w:tcBorders>
              <w:bottom w:val="single" w:sz="4" w:space="0" w:color="033636" w:themeColor="text2"/>
            </w:tcBorders>
            <w:tcMar>
              <w:top w:w="113" w:type="dxa"/>
              <w:left w:w="113" w:type="dxa"/>
              <w:bottom w:w="113" w:type="dxa"/>
              <w:right w:w="113" w:type="dxa"/>
            </w:tcMar>
            <w:vAlign w:val="center"/>
          </w:tcPr>
          <w:p w14:paraId="7F4B9462" w14:textId="77777777" w:rsidR="003A257F" w:rsidRPr="003A257F" w:rsidRDefault="003A257F" w:rsidP="001E6632">
            <w:pPr>
              <w:pStyle w:val="CDIFigure-Table-BodyTextCentre"/>
            </w:pPr>
            <w:r w:rsidRPr="003A257F">
              <w:t>7%</w:t>
            </w:r>
          </w:p>
        </w:tc>
        <w:tc>
          <w:tcPr>
            <w:tcW w:w="1191" w:type="dxa"/>
            <w:tcBorders>
              <w:bottom w:val="single" w:sz="4" w:space="0" w:color="033636" w:themeColor="text2"/>
            </w:tcBorders>
            <w:tcMar>
              <w:top w:w="113" w:type="dxa"/>
              <w:left w:w="113" w:type="dxa"/>
              <w:bottom w:w="113" w:type="dxa"/>
              <w:right w:w="113" w:type="dxa"/>
            </w:tcMar>
            <w:vAlign w:val="center"/>
          </w:tcPr>
          <w:p w14:paraId="11886D10" w14:textId="77777777" w:rsidR="003A257F" w:rsidRPr="003A257F" w:rsidRDefault="003A257F" w:rsidP="001E6632">
            <w:pPr>
              <w:pStyle w:val="CDIFigure-Table-BodyTextCentre"/>
            </w:pPr>
            <w:r w:rsidRPr="003A257F">
              <w:t>15%</w:t>
            </w:r>
          </w:p>
        </w:tc>
        <w:tc>
          <w:tcPr>
            <w:tcW w:w="1190" w:type="dxa"/>
            <w:tcBorders>
              <w:bottom w:val="single" w:sz="4" w:space="0" w:color="033636" w:themeColor="text2"/>
            </w:tcBorders>
            <w:tcMar>
              <w:top w:w="113" w:type="dxa"/>
              <w:left w:w="113" w:type="dxa"/>
              <w:bottom w:w="113" w:type="dxa"/>
              <w:right w:w="113" w:type="dxa"/>
            </w:tcMar>
            <w:vAlign w:val="center"/>
          </w:tcPr>
          <w:p w14:paraId="39CCC339" w14:textId="77777777" w:rsidR="003A257F" w:rsidRPr="003A257F" w:rsidRDefault="003A257F" w:rsidP="001E6632">
            <w:pPr>
              <w:pStyle w:val="CDIFigure-Table-BodyTextCentre"/>
            </w:pPr>
            <w:r w:rsidRPr="003A257F">
              <w:t>-4%</w:t>
            </w:r>
          </w:p>
        </w:tc>
        <w:tc>
          <w:tcPr>
            <w:tcW w:w="1134" w:type="dxa"/>
            <w:tcBorders>
              <w:bottom w:val="single" w:sz="4" w:space="0" w:color="033636" w:themeColor="text2"/>
            </w:tcBorders>
            <w:tcMar>
              <w:top w:w="113" w:type="dxa"/>
              <w:left w:w="113" w:type="dxa"/>
              <w:bottom w:w="113" w:type="dxa"/>
              <w:right w:w="113" w:type="dxa"/>
            </w:tcMar>
            <w:vAlign w:val="center"/>
          </w:tcPr>
          <w:p w14:paraId="7F6A3553" w14:textId="77777777" w:rsidR="003A257F" w:rsidRPr="003A257F" w:rsidRDefault="003A257F" w:rsidP="001E6632">
            <w:pPr>
              <w:pStyle w:val="CDIFigure-Table-BodyTextCentre"/>
            </w:pPr>
            <w:r w:rsidRPr="003A257F">
              <w:t>4%</w:t>
            </w:r>
          </w:p>
        </w:tc>
      </w:tr>
      <w:tr w:rsidR="001E6632" w:rsidRPr="003A257F" w14:paraId="0C45DC8F" w14:textId="77777777" w:rsidTr="001223AA">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6D354F2" w14:textId="77777777" w:rsidR="003A257F" w:rsidRPr="003A257F" w:rsidRDefault="003A257F" w:rsidP="001E6632">
            <w:pPr>
              <w:pStyle w:val="CDIFigure-Table-BodyTextLeft"/>
            </w:pPr>
            <w:r w:rsidRPr="003A257F">
              <w:t>Sexually transmissible infections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46EA460" w14:textId="77777777" w:rsidR="003A257F" w:rsidRPr="003A257F" w:rsidRDefault="003A257F" w:rsidP="001E6632">
            <w:pPr>
              <w:pStyle w:val="CDIFigure-Table-BodyTextLeft"/>
            </w:pPr>
            <w:r w:rsidRPr="003A257F">
              <w:t>Chlamydial infection</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A4D643" w14:textId="77777777" w:rsidR="003A257F" w:rsidRPr="003A257F" w:rsidRDefault="003A257F" w:rsidP="001E6632">
            <w:pPr>
              <w:pStyle w:val="CDIFigure-Table-BodyTextCentre"/>
            </w:pPr>
            <w:r w:rsidRPr="003A257F">
              <w:t>107,143</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BC8495" w14:textId="77777777" w:rsidR="003A257F" w:rsidRPr="003A257F" w:rsidRDefault="003A257F" w:rsidP="001E6632">
            <w:pPr>
              <w:pStyle w:val="CDIFigure-Table-BodyTextCentre"/>
            </w:pPr>
            <w:r w:rsidRPr="003A257F">
              <w:t>98,797</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372378" w14:textId="77777777" w:rsidR="003A257F" w:rsidRPr="003A257F" w:rsidRDefault="003A257F" w:rsidP="001E6632">
            <w:pPr>
              <w:pStyle w:val="CDIFigure-Table-BodyTextCentre"/>
            </w:pPr>
            <w:r w:rsidRPr="003A257F">
              <w:t>91,285</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58762E" w14:textId="77777777" w:rsidR="003A257F" w:rsidRPr="003A257F" w:rsidRDefault="003A257F" w:rsidP="001E6632">
            <w:pPr>
              <w:pStyle w:val="CDIFigure-Table-BodyTextCentre"/>
            </w:pPr>
            <w:r w:rsidRPr="003A257F">
              <w:t>85,932</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BA9667" w14:textId="77777777" w:rsidR="003A257F" w:rsidRPr="003A257F" w:rsidRDefault="003A257F" w:rsidP="001E6632">
            <w:pPr>
              <w:pStyle w:val="CDIFigure-Table-BodyTextCentre"/>
            </w:pPr>
            <w:r w:rsidRPr="003A257F">
              <w:t>-15%</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28E981" w14:textId="77777777" w:rsidR="003A257F" w:rsidRPr="003A257F" w:rsidRDefault="003A257F" w:rsidP="001E6632">
            <w:pPr>
              <w:pStyle w:val="CDIFigure-Table-BodyTextCentre"/>
            </w:pPr>
            <w:r w:rsidRPr="003A257F">
              <w:t>-8%</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92A58C" w14:textId="77777777" w:rsidR="003A257F" w:rsidRPr="003A257F" w:rsidRDefault="003A257F" w:rsidP="001E6632">
            <w:pPr>
              <w:pStyle w:val="CDIFigure-Table-BodyTextCentre"/>
            </w:pPr>
            <w:r w:rsidRPr="003A257F">
              <w:t>-20%</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E5C1BA" w14:textId="77777777" w:rsidR="003A257F" w:rsidRPr="003A257F" w:rsidRDefault="003A257F" w:rsidP="001E6632">
            <w:pPr>
              <w:pStyle w:val="CDIFigure-Table-BodyTextCentre"/>
            </w:pPr>
            <w:r w:rsidRPr="003A257F">
              <w:t>-13%</w:t>
            </w:r>
          </w:p>
        </w:tc>
      </w:tr>
      <w:tr w:rsidR="003A257F" w:rsidRPr="003A257F" w14:paraId="35FA5120"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6F2B0136" w14:textId="77777777" w:rsidR="003A257F" w:rsidRPr="003A257F" w:rsidRDefault="003A257F" w:rsidP="003A257F"/>
        </w:tc>
        <w:tc>
          <w:tcPr>
            <w:tcW w:w="3345" w:type="dxa"/>
            <w:tcMar>
              <w:top w:w="113" w:type="dxa"/>
              <w:left w:w="113" w:type="dxa"/>
              <w:bottom w:w="113" w:type="dxa"/>
              <w:right w:w="113" w:type="dxa"/>
            </w:tcMar>
            <w:vAlign w:val="center"/>
          </w:tcPr>
          <w:p w14:paraId="5FDA5559" w14:textId="77777777" w:rsidR="003A257F" w:rsidRPr="003A257F" w:rsidRDefault="003A257F" w:rsidP="001E6632">
            <w:pPr>
              <w:pStyle w:val="CDIFigure-Table-BodyTextLeft"/>
            </w:pPr>
            <w:r w:rsidRPr="003A257F">
              <w:t>Gonococcal infection</w:t>
            </w:r>
          </w:p>
        </w:tc>
        <w:tc>
          <w:tcPr>
            <w:tcW w:w="1190" w:type="dxa"/>
            <w:tcMar>
              <w:top w:w="113" w:type="dxa"/>
              <w:left w:w="113" w:type="dxa"/>
              <w:bottom w:w="113" w:type="dxa"/>
              <w:right w:w="113" w:type="dxa"/>
            </w:tcMar>
            <w:vAlign w:val="center"/>
          </w:tcPr>
          <w:p w14:paraId="5609245A" w14:textId="77777777" w:rsidR="003A257F" w:rsidRPr="003A257F" w:rsidRDefault="003A257F" w:rsidP="001E6632">
            <w:pPr>
              <w:pStyle w:val="CDIFigure-Table-BodyTextCentre"/>
            </w:pPr>
            <w:r w:rsidRPr="003A257F">
              <w:t>34,749</w:t>
            </w:r>
          </w:p>
        </w:tc>
        <w:tc>
          <w:tcPr>
            <w:tcW w:w="1248" w:type="dxa"/>
            <w:tcMar>
              <w:top w:w="113" w:type="dxa"/>
              <w:left w:w="113" w:type="dxa"/>
              <w:bottom w:w="113" w:type="dxa"/>
              <w:right w:w="113" w:type="dxa"/>
            </w:tcMar>
            <w:vAlign w:val="center"/>
          </w:tcPr>
          <w:p w14:paraId="37C4758D" w14:textId="77777777" w:rsidR="003A257F" w:rsidRPr="003A257F" w:rsidRDefault="003A257F" w:rsidP="001E6632">
            <w:pPr>
              <w:pStyle w:val="CDIFigure-Table-BodyTextCentre"/>
            </w:pPr>
            <w:r w:rsidRPr="003A257F">
              <w:t>27,254</w:t>
            </w:r>
          </w:p>
        </w:tc>
        <w:tc>
          <w:tcPr>
            <w:tcW w:w="1190" w:type="dxa"/>
            <w:tcMar>
              <w:top w:w="113" w:type="dxa"/>
              <w:left w:w="113" w:type="dxa"/>
              <w:bottom w:w="113" w:type="dxa"/>
              <w:right w:w="113" w:type="dxa"/>
            </w:tcMar>
            <w:vAlign w:val="center"/>
          </w:tcPr>
          <w:p w14:paraId="06DE686F" w14:textId="77777777" w:rsidR="003A257F" w:rsidRPr="003A257F" w:rsidRDefault="003A257F" w:rsidP="001E6632">
            <w:pPr>
              <w:pStyle w:val="CDIFigure-Table-BodyTextCentre"/>
            </w:pPr>
            <w:r w:rsidRPr="003A257F">
              <w:t>29,846</w:t>
            </w:r>
          </w:p>
        </w:tc>
        <w:tc>
          <w:tcPr>
            <w:tcW w:w="1191" w:type="dxa"/>
            <w:tcMar>
              <w:top w:w="113" w:type="dxa"/>
              <w:left w:w="113" w:type="dxa"/>
              <w:bottom w:w="113" w:type="dxa"/>
              <w:right w:w="113" w:type="dxa"/>
            </w:tcMar>
            <w:vAlign w:val="center"/>
          </w:tcPr>
          <w:p w14:paraId="1D59255F" w14:textId="77777777" w:rsidR="003A257F" w:rsidRPr="003A257F" w:rsidRDefault="003A257F" w:rsidP="001E6632">
            <w:pPr>
              <w:pStyle w:val="CDIFigure-Table-BodyTextCentre"/>
            </w:pPr>
            <w:r w:rsidRPr="003A257F">
              <w:t>26,811</w:t>
            </w:r>
          </w:p>
        </w:tc>
        <w:tc>
          <w:tcPr>
            <w:tcW w:w="1190" w:type="dxa"/>
            <w:tcMar>
              <w:top w:w="113" w:type="dxa"/>
              <w:left w:w="113" w:type="dxa"/>
              <w:bottom w:w="113" w:type="dxa"/>
              <w:right w:w="113" w:type="dxa"/>
            </w:tcMar>
            <w:vAlign w:val="center"/>
          </w:tcPr>
          <w:p w14:paraId="7FFB6614" w14:textId="77777777" w:rsidR="003A257F" w:rsidRPr="003A257F" w:rsidRDefault="003A257F" w:rsidP="001E6632">
            <w:pPr>
              <w:pStyle w:val="CDIFigure-Table-BodyTextCentre"/>
            </w:pPr>
            <w:r w:rsidRPr="003A257F">
              <w:t>-14%</w:t>
            </w:r>
          </w:p>
        </w:tc>
        <w:tc>
          <w:tcPr>
            <w:tcW w:w="1191" w:type="dxa"/>
            <w:tcMar>
              <w:top w:w="113" w:type="dxa"/>
              <w:left w:w="113" w:type="dxa"/>
              <w:bottom w:w="113" w:type="dxa"/>
              <w:right w:w="113" w:type="dxa"/>
            </w:tcMar>
            <w:vAlign w:val="center"/>
          </w:tcPr>
          <w:p w14:paraId="6A8812C9" w14:textId="77777777" w:rsidR="003A257F" w:rsidRPr="003A257F" w:rsidRDefault="003A257F" w:rsidP="001E6632">
            <w:pPr>
              <w:pStyle w:val="CDIFigure-Table-BodyTextCentre"/>
            </w:pPr>
            <w:r w:rsidRPr="003A257F">
              <w:t>10%</w:t>
            </w:r>
          </w:p>
        </w:tc>
        <w:tc>
          <w:tcPr>
            <w:tcW w:w="1190" w:type="dxa"/>
            <w:tcMar>
              <w:top w:w="113" w:type="dxa"/>
              <w:left w:w="113" w:type="dxa"/>
              <w:bottom w:w="113" w:type="dxa"/>
              <w:right w:w="113" w:type="dxa"/>
            </w:tcMar>
            <w:vAlign w:val="center"/>
          </w:tcPr>
          <w:p w14:paraId="01459D3D" w14:textId="77777777" w:rsidR="003A257F" w:rsidRPr="003A257F" w:rsidRDefault="003A257F" w:rsidP="001E6632">
            <w:pPr>
              <w:pStyle w:val="CDIFigure-Table-BodyTextCentre"/>
            </w:pPr>
            <w:r w:rsidRPr="003A257F">
              <w:t>-23%</w:t>
            </w:r>
          </w:p>
        </w:tc>
        <w:tc>
          <w:tcPr>
            <w:tcW w:w="1134" w:type="dxa"/>
            <w:tcMar>
              <w:top w:w="113" w:type="dxa"/>
              <w:left w:w="113" w:type="dxa"/>
              <w:bottom w:w="113" w:type="dxa"/>
              <w:right w:w="113" w:type="dxa"/>
            </w:tcMar>
            <w:vAlign w:val="center"/>
          </w:tcPr>
          <w:p w14:paraId="66ADD612" w14:textId="77777777" w:rsidR="003A257F" w:rsidRPr="003A257F" w:rsidRDefault="003A257F" w:rsidP="001E6632">
            <w:pPr>
              <w:pStyle w:val="CDIFigure-Table-BodyTextCentre"/>
            </w:pPr>
            <w:r w:rsidRPr="003A257F">
              <w:t>-2%</w:t>
            </w:r>
          </w:p>
        </w:tc>
      </w:tr>
      <w:tr w:rsidR="001E6632" w:rsidRPr="003A257F" w14:paraId="2C8DFEDE"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5F06FCBC"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2A1A9669" w14:textId="77777777" w:rsidR="003A257F" w:rsidRPr="003A257F" w:rsidRDefault="003A257F" w:rsidP="001E6632">
            <w:pPr>
              <w:pStyle w:val="CDIFigure-Table-BodyTextLeft"/>
            </w:pPr>
            <w:r w:rsidRPr="003A257F">
              <w:t>Syphilis &lt; 2 years</w:t>
            </w:r>
          </w:p>
        </w:tc>
        <w:tc>
          <w:tcPr>
            <w:tcW w:w="1190" w:type="dxa"/>
            <w:shd w:val="clear" w:color="auto" w:fill="F2F2F2" w:themeFill="background1" w:themeFillShade="F2"/>
            <w:tcMar>
              <w:top w:w="113" w:type="dxa"/>
              <w:left w:w="113" w:type="dxa"/>
              <w:bottom w:w="113" w:type="dxa"/>
              <w:right w:w="113" w:type="dxa"/>
            </w:tcMar>
            <w:vAlign w:val="center"/>
          </w:tcPr>
          <w:p w14:paraId="5908F304" w14:textId="77777777" w:rsidR="003A257F" w:rsidRPr="003A257F" w:rsidRDefault="003A257F" w:rsidP="001E6632">
            <w:pPr>
              <w:pStyle w:val="CDIFigure-Table-BodyTextCentre"/>
            </w:pPr>
            <w:r w:rsidRPr="003A257F">
              <w:t>5,925</w:t>
            </w:r>
          </w:p>
        </w:tc>
        <w:tc>
          <w:tcPr>
            <w:tcW w:w="1248" w:type="dxa"/>
            <w:shd w:val="clear" w:color="auto" w:fill="F2F2F2" w:themeFill="background1" w:themeFillShade="F2"/>
            <w:tcMar>
              <w:top w:w="113" w:type="dxa"/>
              <w:left w:w="113" w:type="dxa"/>
              <w:bottom w:w="113" w:type="dxa"/>
              <w:right w:w="113" w:type="dxa"/>
            </w:tcMar>
            <w:vAlign w:val="center"/>
          </w:tcPr>
          <w:p w14:paraId="475FB51F" w14:textId="77777777" w:rsidR="003A257F" w:rsidRPr="003A257F" w:rsidRDefault="003A257F" w:rsidP="001E6632">
            <w:pPr>
              <w:pStyle w:val="CDIFigure-Table-BodyTextCentre"/>
            </w:pPr>
            <w:r w:rsidRPr="003A257F">
              <w:t>4,355</w:t>
            </w:r>
          </w:p>
        </w:tc>
        <w:tc>
          <w:tcPr>
            <w:tcW w:w="1190" w:type="dxa"/>
            <w:shd w:val="clear" w:color="auto" w:fill="F2F2F2" w:themeFill="background1" w:themeFillShade="F2"/>
            <w:tcMar>
              <w:top w:w="113" w:type="dxa"/>
              <w:left w:w="113" w:type="dxa"/>
              <w:bottom w:w="113" w:type="dxa"/>
              <w:right w:w="113" w:type="dxa"/>
            </w:tcMar>
            <w:vAlign w:val="center"/>
          </w:tcPr>
          <w:p w14:paraId="3DB449D8" w14:textId="77777777" w:rsidR="003A257F" w:rsidRPr="003A257F" w:rsidRDefault="003A257F" w:rsidP="001E6632">
            <w:pPr>
              <w:pStyle w:val="CDIFigure-Table-BodyTextCentre"/>
            </w:pPr>
            <w:r w:rsidRPr="003A257F">
              <w:t>5,372</w:t>
            </w:r>
          </w:p>
        </w:tc>
        <w:tc>
          <w:tcPr>
            <w:tcW w:w="1191" w:type="dxa"/>
            <w:shd w:val="clear" w:color="auto" w:fill="F2F2F2" w:themeFill="background1" w:themeFillShade="F2"/>
            <w:tcMar>
              <w:top w:w="113" w:type="dxa"/>
              <w:left w:w="113" w:type="dxa"/>
              <w:bottom w:w="113" w:type="dxa"/>
              <w:right w:w="113" w:type="dxa"/>
            </w:tcMar>
            <w:vAlign w:val="center"/>
          </w:tcPr>
          <w:p w14:paraId="4881A64E" w14:textId="77777777" w:rsidR="003A257F" w:rsidRPr="003A257F" w:rsidRDefault="003A257F" w:rsidP="001E6632">
            <w:pPr>
              <w:pStyle w:val="CDIFigure-Table-BodyTextCentre"/>
            </w:pPr>
            <w:r w:rsidRPr="003A257F">
              <w:t>5,604</w:t>
            </w:r>
          </w:p>
        </w:tc>
        <w:tc>
          <w:tcPr>
            <w:tcW w:w="1190" w:type="dxa"/>
            <w:shd w:val="clear" w:color="auto" w:fill="F2F2F2" w:themeFill="background1" w:themeFillShade="F2"/>
            <w:tcMar>
              <w:top w:w="113" w:type="dxa"/>
              <w:left w:w="113" w:type="dxa"/>
              <w:bottom w:w="113" w:type="dxa"/>
              <w:right w:w="113" w:type="dxa"/>
            </w:tcMar>
            <w:vAlign w:val="center"/>
          </w:tcPr>
          <w:p w14:paraId="30D5D913" w14:textId="77777777" w:rsidR="003A257F" w:rsidRPr="003A257F" w:rsidRDefault="003A257F" w:rsidP="001E6632">
            <w:pPr>
              <w:pStyle w:val="CDIFigure-Table-BodyTextCentre"/>
            </w:pPr>
            <w:r w:rsidRPr="003A257F">
              <w:t>-9%</w:t>
            </w:r>
          </w:p>
        </w:tc>
        <w:tc>
          <w:tcPr>
            <w:tcW w:w="1191" w:type="dxa"/>
            <w:shd w:val="clear" w:color="auto" w:fill="F2F2F2" w:themeFill="background1" w:themeFillShade="F2"/>
            <w:tcMar>
              <w:top w:w="113" w:type="dxa"/>
              <w:left w:w="113" w:type="dxa"/>
              <w:bottom w:w="113" w:type="dxa"/>
              <w:right w:w="113" w:type="dxa"/>
            </w:tcMar>
            <w:vAlign w:val="center"/>
          </w:tcPr>
          <w:p w14:paraId="16F58678" w14:textId="77777777" w:rsidR="003A257F" w:rsidRPr="003A257F" w:rsidRDefault="003A257F" w:rsidP="001E6632">
            <w:pPr>
              <w:pStyle w:val="CDIFigure-Table-BodyTextCentre"/>
            </w:pPr>
            <w:r w:rsidRPr="003A257F">
              <w:t>23%</w:t>
            </w:r>
          </w:p>
        </w:tc>
        <w:tc>
          <w:tcPr>
            <w:tcW w:w="1190" w:type="dxa"/>
            <w:shd w:val="clear" w:color="auto" w:fill="F2F2F2" w:themeFill="background1" w:themeFillShade="F2"/>
            <w:tcMar>
              <w:top w:w="113" w:type="dxa"/>
              <w:left w:w="113" w:type="dxa"/>
              <w:bottom w:w="113" w:type="dxa"/>
              <w:right w:w="113" w:type="dxa"/>
            </w:tcMar>
            <w:vAlign w:val="center"/>
          </w:tcPr>
          <w:p w14:paraId="643477E4" w14:textId="77777777" w:rsidR="003A257F" w:rsidRPr="003A257F" w:rsidRDefault="003A257F" w:rsidP="001E6632">
            <w:pPr>
              <w:pStyle w:val="CDIFigure-Table-BodyTextCentre"/>
            </w:pPr>
            <w:r w:rsidRPr="003A257F">
              <w:t>-5%</w:t>
            </w:r>
          </w:p>
        </w:tc>
        <w:tc>
          <w:tcPr>
            <w:tcW w:w="1134" w:type="dxa"/>
            <w:shd w:val="clear" w:color="auto" w:fill="F2F2F2" w:themeFill="background1" w:themeFillShade="F2"/>
            <w:tcMar>
              <w:top w:w="113" w:type="dxa"/>
              <w:left w:w="113" w:type="dxa"/>
              <w:bottom w:w="113" w:type="dxa"/>
              <w:right w:w="113" w:type="dxa"/>
            </w:tcMar>
            <w:vAlign w:val="center"/>
          </w:tcPr>
          <w:p w14:paraId="4BE85EE9" w14:textId="77777777" w:rsidR="003A257F" w:rsidRPr="003A257F" w:rsidRDefault="003A257F" w:rsidP="001E6632">
            <w:pPr>
              <w:pStyle w:val="CDIFigure-Table-BodyTextCentre"/>
            </w:pPr>
            <w:r w:rsidRPr="003A257F">
              <w:t>29%</w:t>
            </w:r>
          </w:p>
        </w:tc>
      </w:tr>
      <w:tr w:rsidR="003A257F" w:rsidRPr="003A257F" w14:paraId="375F9192"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5E77458A" w14:textId="77777777" w:rsidR="003A257F" w:rsidRPr="003A257F" w:rsidRDefault="003A257F" w:rsidP="003A257F"/>
        </w:tc>
        <w:tc>
          <w:tcPr>
            <w:tcW w:w="3345" w:type="dxa"/>
            <w:tcMar>
              <w:top w:w="113" w:type="dxa"/>
              <w:left w:w="113" w:type="dxa"/>
              <w:bottom w:w="113" w:type="dxa"/>
              <w:right w:w="113" w:type="dxa"/>
            </w:tcMar>
            <w:vAlign w:val="center"/>
          </w:tcPr>
          <w:p w14:paraId="20B3B67F" w14:textId="77777777" w:rsidR="003A257F" w:rsidRPr="003A257F" w:rsidRDefault="003A257F" w:rsidP="001E6632">
            <w:pPr>
              <w:pStyle w:val="CDIFigure-Table-BodyTextLeft"/>
            </w:pPr>
            <w:r w:rsidRPr="003A257F">
              <w:t>Syphilis &gt; 2 years or unspecified duration</w:t>
            </w:r>
          </w:p>
        </w:tc>
        <w:tc>
          <w:tcPr>
            <w:tcW w:w="1190" w:type="dxa"/>
            <w:tcMar>
              <w:top w:w="113" w:type="dxa"/>
              <w:left w:w="113" w:type="dxa"/>
              <w:bottom w:w="113" w:type="dxa"/>
              <w:right w:w="113" w:type="dxa"/>
            </w:tcMar>
            <w:vAlign w:val="center"/>
          </w:tcPr>
          <w:p w14:paraId="296CE72D" w14:textId="77777777" w:rsidR="003A257F" w:rsidRPr="003A257F" w:rsidRDefault="003A257F" w:rsidP="001E6632">
            <w:pPr>
              <w:pStyle w:val="CDIFigure-Table-BodyTextCentre"/>
            </w:pPr>
            <w:r w:rsidRPr="003A257F">
              <w:t>2,508</w:t>
            </w:r>
          </w:p>
        </w:tc>
        <w:tc>
          <w:tcPr>
            <w:tcW w:w="1248" w:type="dxa"/>
            <w:tcMar>
              <w:top w:w="113" w:type="dxa"/>
              <w:left w:w="113" w:type="dxa"/>
              <w:bottom w:w="113" w:type="dxa"/>
              <w:right w:w="113" w:type="dxa"/>
            </w:tcMar>
            <w:vAlign w:val="center"/>
          </w:tcPr>
          <w:p w14:paraId="51ED764C" w14:textId="77777777" w:rsidR="003A257F" w:rsidRPr="003A257F" w:rsidRDefault="003A257F" w:rsidP="001E6632">
            <w:pPr>
              <w:pStyle w:val="CDIFigure-Table-BodyTextCentre"/>
            </w:pPr>
            <w:r w:rsidRPr="003A257F">
              <w:t>2,116</w:t>
            </w:r>
          </w:p>
        </w:tc>
        <w:tc>
          <w:tcPr>
            <w:tcW w:w="1190" w:type="dxa"/>
            <w:tcMar>
              <w:top w:w="113" w:type="dxa"/>
              <w:left w:w="113" w:type="dxa"/>
              <w:bottom w:w="113" w:type="dxa"/>
              <w:right w:w="113" w:type="dxa"/>
            </w:tcMar>
            <w:vAlign w:val="center"/>
          </w:tcPr>
          <w:p w14:paraId="1DE0305B" w14:textId="77777777" w:rsidR="003A257F" w:rsidRPr="003A257F" w:rsidRDefault="003A257F" w:rsidP="001E6632">
            <w:pPr>
              <w:pStyle w:val="CDIFigure-Table-BodyTextCentre"/>
            </w:pPr>
            <w:r w:rsidRPr="003A257F">
              <w:t>2,074</w:t>
            </w:r>
          </w:p>
        </w:tc>
        <w:tc>
          <w:tcPr>
            <w:tcW w:w="1191" w:type="dxa"/>
            <w:tcMar>
              <w:top w:w="113" w:type="dxa"/>
              <w:left w:w="113" w:type="dxa"/>
              <w:bottom w:w="113" w:type="dxa"/>
              <w:right w:w="113" w:type="dxa"/>
            </w:tcMar>
            <w:vAlign w:val="center"/>
          </w:tcPr>
          <w:p w14:paraId="3CABD85E" w14:textId="77777777" w:rsidR="003A257F" w:rsidRPr="003A257F" w:rsidRDefault="003A257F" w:rsidP="001E6632">
            <w:pPr>
              <w:pStyle w:val="CDIFigure-Table-BodyTextCentre"/>
            </w:pPr>
            <w:r w:rsidRPr="003A257F">
              <w:t>1,888</w:t>
            </w:r>
          </w:p>
        </w:tc>
        <w:tc>
          <w:tcPr>
            <w:tcW w:w="1190" w:type="dxa"/>
            <w:tcMar>
              <w:top w:w="113" w:type="dxa"/>
              <w:left w:w="113" w:type="dxa"/>
              <w:bottom w:w="113" w:type="dxa"/>
              <w:right w:w="113" w:type="dxa"/>
            </w:tcMar>
            <w:vAlign w:val="center"/>
          </w:tcPr>
          <w:p w14:paraId="279868AA" w14:textId="77777777" w:rsidR="003A257F" w:rsidRPr="003A257F" w:rsidRDefault="003A257F" w:rsidP="001E6632">
            <w:pPr>
              <w:pStyle w:val="CDIFigure-Table-BodyTextCentre"/>
            </w:pPr>
            <w:r w:rsidRPr="003A257F">
              <w:t>-17%</w:t>
            </w:r>
          </w:p>
        </w:tc>
        <w:tc>
          <w:tcPr>
            <w:tcW w:w="1191" w:type="dxa"/>
            <w:tcMar>
              <w:top w:w="113" w:type="dxa"/>
              <w:left w:w="113" w:type="dxa"/>
              <w:bottom w:w="113" w:type="dxa"/>
              <w:right w:w="113" w:type="dxa"/>
            </w:tcMar>
            <w:vAlign w:val="center"/>
          </w:tcPr>
          <w:p w14:paraId="1CF4056C" w14:textId="77777777" w:rsidR="003A257F" w:rsidRPr="003A257F" w:rsidRDefault="003A257F" w:rsidP="001E6632">
            <w:pPr>
              <w:pStyle w:val="CDIFigure-Table-BodyTextCentre"/>
            </w:pPr>
            <w:r w:rsidRPr="003A257F">
              <w:t>-2%</w:t>
            </w:r>
          </w:p>
        </w:tc>
        <w:tc>
          <w:tcPr>
            <w:tcW w:w="1190" w:type="dxa"/>
            <w:tcMar>
              <w:top w:w="113" w:type="dxa"/>
              <w:left w:w="113" w:type="dxa"/>
              <w:bottom w:w="113" w:type="dxa"/>
              <w:right w:w="113" w:type="dxa"/>
            </w:tcMar>
            <w:vAlign w:val="center"/>
          </w:tcPr>
          <w:p w14:paraId="5880B488" w14:textId="77777777" w:rsidR="003A257F" w:rsidRPr="003A257F" w:rsidRDefault="003A257F" w:rsidP="001E6632">
            <w:pPr>
              <w:pStyle w:val="CDIFigure-Table-BodyTextCentre"/>
            </w:pPr>
            <w:r w:rsidRPr="003A257F">
              <w:t>-25%</w:t>
            </w:r>
          </w:p>
        </w:tc>
        <w:tc>
          <w:tcPr>
            <w:tcW w:w="1134" w:type="dxa"/>
            <w:tcMar>
              <w:top w:w="113" w:type="dxa"/>
              <w:left w:w="113" w:type="dxa"/>
              <w:bottom w:w="113" w:type="dxa"/>
              <w:right w:w="113" w:type="dxa"/>
            </w:tcMar>
            <w:vAlign w:val="center"/>
          </w:tcPr>
          <w:p w14:paraId="5C9ABD5D" w14:textId="77777777" w:rsidR="003A257F" w:rsidRPr="003A257F" w:rsidRDefault="003A257F" w:rsidP="001E6632">
            <w:pPr>
              <w:pStyle w:val="CDIFigure-Table-BodyTextCentre"/>
            </w:pPr>
            <w:r w:rsidRPr="003A257F">
              <w:t>-11%</w:t>
            </w:r>
          </w:p>
        </w:tc>
      </w:tr>
      <w:tr w:rsidR="001E6632" w:rsidRPr="003A257F" w14:paraId="6351B481"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68606062"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545E8157" w14:textId="77777777" w:rsidR="003A257F" w:rsidRPr="003A257F" w:rsidRDefault="003A257F" w:rsidP="001E6632">
            <w:pPr>
              <w:pStyle w:val="CDIFigure-Table-BodyTextLeft"/>
            </w:pPr>
            <w:r w:rsidRPr="003A257F">
              <w:t>Infectious syphilis</w:t>
            </w:r>
          </w:p>
        </w:tc>
        <w:tc>
          <w:tcPr>
            <w:tcW w:w="1190" w:type="dxa"/>
            <w:shd w:val="clear" w:color="auto" w:fill="F2F2F2" w:themeFill="background1" w:themeFillShade="F2"/>
            <w:tcMar>
              <w:top w:w="113" w:type="dxa"/>
              <w:left w:w="113" w:type="dxa"/>
              <w:bottom w:w="113" w:type="dxa"/>
              <w:right w:w="113" w:type="dxa"/>
            </w:tcMar>
            <w:vAlign w:val="center"/>
          </w:tcPr>
          <w:p w14:paraId="4894DC78" w14:textId="77777777" w:rsidR="003A257F" w:rsidRPr="003A257F" w:rsidRDefault="003A257F" w:rsidP="001E6632">
            <w:pPr>
              <w:pStyle w:val="CDIFigure-Table-BodyTextCentre"/>
            </w:pPr>
            <w:r w:rsidRPr="003A257F">
              <w:t>8,433</w:t>
            </w:r>
          </w:p>
        </w:tc>
        <w:tc>
          <w:tcPr>
            <w:tcW w:w="1248" w:type="dxa"/>
            <w:shd w:val="clear" w:color="auto" w:fill="F2F2F2" w:themeFill="background1" w:themeFillShade="F2"/>
            <w:tcMar>
              <w:top w:w="113" w:type="dxa"/>
              <w:left w:w="113" w:type="dxa"/>
              <w:bottom w:w="113" w:type="dxa"/>
              <w:right w:w="113" w:type="dxa"/>
            </w:tcMar>
            <w:vAlign w:val="center"/>
          </w:tcPr>
          <w:p w14:paraId="11DAB6B9" w14:textId="77777777" w:rsidR="003A257F" w:rsidRPr="003A257F" w:rsidRDefault="003A257F" w:rsidP="001E6632">
            <w:pPr>
              <w:pStyle w:val="CDIFigure-Table-BodyTextCentre"/>
            </w:pPr>
            <w:r w:rsidRPr="003A257F">
              <w:t>6,472</w:t>
            </w:r>
          </w:p>
        </w:tc>
        <w:tc>
          <w:tcPr>
            <w:tcW w:w="1190" w:type="dxa"/>
            <w:shd w:val="clear" w:color="auto" w:fill="F2F2F2" w:themeFill="background1" w:themeFillShade="F2"/>
            <w:tcMar>
              <w:top w:w="113" w:type="dxa"/>
              <w:left w:w="113" w:type="dxa"/>
              <w:bottom w:w="113" w:type="dxa"/>
              <w:right w:w="113" w:type="dxa"/>
            </w:tcMar>
            <w:vAlign w:val="center"/>
          </w:tcPr>
          <w:p w14:paraId="0EA0837E" w14:textId="77777777" w:rsidR="003A257F" w:rsidRPr="003A257F" w:rsidRDefault="003A257F" w:rsidP="001E6632">
            <w:pPr>
              <w:pStyle w:val="CDIFigure-Table-BodyTextCentre"/>
            </w:pPr>
            <w:r w:rsidRPr="003A257F">
              <w:t>7,446</w:t>
            </w:r>
          </w:p>
        </w:tc>
        <w:tc>
          <w:tcPr>
            <w:tcW w:w="1191" w:type="dxa"/>
            <w:shd w:val="clear" w:color="auto" w:fill="F2F2F2" w:themeFill="background1" w:themeFillShade="F2"/>
            <w:tcMar>
              <w:top w:w="113" w:type="dxa"/>
              <w:left w:w="113" w:type="dxa"/>
              <w:bottom w:w="113" w:type="dxa"/>
              <w:right w:w="113" w:type="dxa"/>
            </w:tcMar>
            <w:vAlign w:val="center"/>
          </w:tcPr>
          <w:p w14:paraId="3EE139A9" w14:textId="77777777" w:rsidR="003A257F" w:rsidRPr="003A257F" w:rsidRDefault="003A257F" w:rsidP="001E6632">
            <w:pPr>
              <w:pStyle w:val="CDIFigure-Table-BodyTextCentre"/>
            </w:pPr>
            <w:r w:rsidRPr="003A257F">
              <w:t>7,492</w:t>
            </w:r>
          </w:p>
        </w:tc>
        <w:tc>
          <w:tcPr>
            <w:tcW w:w="1190" w:type="dxa"/>
            <w:shd w:val="clear" w:color="auto" w:fill="F2F2F2" w:themeFill="background1" w:themeFillShade="F2"/>
            <w:tcMar>
              <w:top w:w="113" w:type="dxa"/>
              <w:left w:w="113" w:type="dxa"/>
              <w:bottom w:w="113" w:type="dxa"/>
              <w:right w:w="113" w:type="dxa"/>
            </w:tcMar>
            <w:vAlign w:val="center"/>
          </w:tcPr>
          <w:p w14:paraId="616DEDC5" w14:textId="77777777" w:rsidR="003A257F" w:rsidRPr="003A257F" w:rsidRDefault="003A257F" w:rsidP="001E6632">
            <w:pPr>
              <w:pStyle w:val="CDIFigure-Table-BodyTextCentre"/>
            </w:pPr>
            <w:r w:rsidRPr="003A257F">
              <w:t>-12%</w:t>
            </w:r>
          </w:p>
        </w:tc>
        <w:tc>
          <w:tcPr>
            <w:tcW w:w="1191" w:type="dxa"/>
            <w:shd w:val="clear" w:color="auto" w:fill="F2F2F2" w:themeFill="background1" w:themeFillShade="F2"/>
            <w:tcMar>
              <w:top w:w="113" w:type="dxa"/>
              <w:left w:w="113" w:type="dxa"/>
              <w:bottom w:w="113" w:type="dxa"/>
              <w:right w:w="113" w:type="dxa"/>
            </w:tcMar>
            <w:vAlign w:val="center"/>
          </w:tcPr>
          <w:p w14:paraId="5147958D" w14:textId="77777777" w:rsidR="003A257F" w:rsidRPr="003A257F" w:rsidRDefault="003A257F" w:rsidP="001E6632">
            <w:pPr>
              <w:pStyle w:val="CDIFigure-Table-BodyTextCentre"/>
            </w:pPr>
            <w:r w:rsidRPr="003A257F">
              <w:t>15%</w:t>
            </w:r>
          </w:p>
        </w:tc>
        <w:tc>
          <w:tcPr>
            <w:tcW w:w="1190" w:type="dxa"/>
            <w:shd w:val="clear" w:color="auto" w:fill="F2F2F2" w:themeFill="background1" w:themeFillShade="F2"/>
            <w:tcMar>
              <w:top w:w="113" w:type="dxa"/>
              <w:left w:w="113" w:type="dxa"/>
              <w:bottom w:w="113" w:type="dxa"/>
              <w:right w:w="113" w:type="dxa"/>
            </w:tcMar>
            <w:vAlign w:val="center"/>
          </w:tcPr>
          <w:p w14:paraId="42412D25" w14:textId="77777777" w:rsidR="003A257F" w:rsidRPr="003A257F" w:rsidRDefault="003A257F" w:rsidP="001E6632">
            <w:pPr>
              <w:pStyle w:val="CDIFigure-Table-BodyTextCentre"/>
            </w:pPr>
            <w:r w:rsidRPr="003A257F">
              <w:t>-11%</w:t>
            </w:r>
          </w:p>
        </w:tc>
        <w:tc>
          <w:tcPr>
            <w:tcW w:w="1134" w:type="dxa"/>
            <w:shd w:val="clear" w:color="auto" w:fill="F2F2F2" w:themeFill="background1" w:themeFillShade="F2"/>
            <w:tcMar>
              <w:top w:w="113" w:type="dxa"/>
              <w:left w:w="113" w:type="dxa"/>
              <w:bottom w:w="113" w:type="dxa"/>
              <w:right w:w="113" w:type="dxa"/>
            </w:tcMar>
            <w:vAlign w:val="center"/>
          </w:tcPr>
          <w:p w14:paraId="596DC5FF" w14:textId="77777777" w:rsidR="003A257F" w:rsidRPr="003A257F" w:rsidRDefault="003A257F" w:rsidP="001E6632">
            <w:pPr>
              <w:pStyle w:val="CDIFigure-Table-BodyTextCentre"/>
            </w:pPr>
            <w:r w:rsidRPr="003A257F">
              <w:t>16%</w:t>
            </w:r>
          </w:p>
        </w:tc>
      </w:tr>
      <w:tr w:rsidR="003A257F" w:rsidRPr="003A257F" w14:paraId="4AB4D104" w14:textId="77777777" w:rsidTr="001223AA">
        <w:trPr>
          <w:divId w:val="935526654"/>
          <w:trHeight w:val="20"/>
        </w:trPr>
        <w:tc>
          <w:tcPr>
            <w:tcW w:w="1474" w:type="dxa"/>
            <w:vMerge/>
            <w:tcBorders>
              <w:bottom w:val="single" w:sz="4" w:space="0" w:color="033636" w:themeColor="text2"/>
            </w:tcBorders>
            <w:shd w:val="clear" w:color="auto" w:fill="C5FFEF" w:themeFill="background2" w:themeFillTint="33"/>
          </w:tcPr>
          <w:p w14:paraId="5086B625" w14:textId="77777777" w:rsidR="003A257F" w:rsidRPr="003A257F" w:rsidRDefault="003A257F" w:rsidP="003A257F"/>
        </w:tc>
        <w:tc>
          <w:tcPr>
            <w:tcW w:w="3345" w:type="dxa"/>
            <w:tcBorders>
              <w:bottom w:val="single" w:sz="4" w:space="0" w:color="033636" w:themeColor="text2"/>
            </w:tcBorders>
            <w:tcMar>
              <w:top w:w="113" w:type="dxa"/>
              <w:left w:w="113" w:type="dxa"/>
              <w:bottom w:w="113" w:type="dxa"/>
              <w:right w:w="113" w:type="dxa"/>
            </w:tcMar>
            <w:vAlign w:val="center"/>
          </w:tcPr>
          <w:p w14:paraId="5B0677E4" w14:textId="77777777" w:rsidR="003A257F" w:rsidRPr="003A257F" w:rsidRDefault="003A257F" w:rsidP="001E6632">
            <w:pPr>
              <w:pStyle w:val="CDIFigure-Table-BodyTextLeft"/>
            </w:pPr>
            <w:r w:rsidRPr="003A257F">
              <w:t>Syphilis congenital</w:t>
            </w:r>
          </w:p>
        </w:tc>
        <w:tc>
          <w:tcPr>
            <w:tcW w:w="1190" w:type="dxa"/>
            <w:tcBorders>
              <w:bottom w:val="single" w:sz="4" w:space="0" w:color="033636" w:themeColor="text2"/>
            </w:tcBorders>
            <w:tcMar>
              <w:top w:w="113" w:type="dxa"/>
              <w:left w:w="113" w:type="dxa"/>
              <w:bottom w:w="113" w:type="dxa"/>
              <w:right w:w="113" w:type="dxa"/>
            </w:tcMar>
            <w:vAlign w:val="center"/>
          </w:tcPr>
          <w:p w14:paraId="2232467D" w14:textId="77777777" w:rsidR="003A257F" w:rsidRPr="003A257F" w:rsidRDefault="003A257F" w:rsidP="001E6632">
            <w:pPr>
              <w:pStyle w:val="CDIFigure-Table-BodyTextCentre"/>
            </w:pPr>
            <w:r w:rsidRPr="003A257F">
              <w:t>4</w:t>
            </w:r>
          </w:p>
        </w:tc>
        <w:tc>
          <w:tcPr>
            <w:tcW w:w="1248" w:type="dxa"/>
            <w:tcBorders>
              <w:bottom w:val="single" w:sz="4" w:space="0" w:color="033636" w:themeColor="text2"/>
            </w:tcBorders>
            <w:tcMar>
              <w:top w:w="113" w:type="dxa"/>
              <w:left w:w="113" w:type="dxa"/>
              <w:bottom w:w="113" w:type="dxa"/>
              <w:right w:w="113" w:type="dxa"/>
            </w:tcMar>
            <w:vAlign w:val="center"/>
          </w:tcPr>
          <w:p w14:paraId="7DC6E905" w14:textId="77777777" w:rsidR="003A257F" w:rsidRPr="003A257F" w:rsidRDefault="003A257F" w:rsidP="001E6632">
            <w:pPr>
              <w:pStyle w:val="CDIFigure-Table-BodyTextCentre"/>
            </w:pPr>
            <w:r w:rsidRPr="003A257F">
              <w:t>5</w:t>
            </w:r>
          </w:p>
        </w:tc>
        <w:tc>
          <w:tcPr>
            <w:tcW w:w="1190" w:type="dxa"/>
            <w:tcBorders>
              <w:bottom w:val="single" w:sz="4" w:space="0" w:color="033636" w:themeColor="text2"/>
            </w:tcBorders>
            <w:tcMar>
              <w:top w:w="113" w:type="dxa"/>
              <w:left w:w="113" w:type="dxa"/>
              <w:bottom w:w="113" w:type="dxa"/>
              <w:right w:w="113" w:type="dxa"/>
            </w:tcMar>
            <w:vAlign w:val="center"/>
          </w:tcPr>
          <w:p w14:paraId="52E66D2F" w14:textId="77777777" w:rsidR="003A257F" w:rsidRPr="003A257F" w:rsidRDefault="003A257F" w:rsidP="001E6632">
            <w:pPr>
              <w:pStyle w:val="CDIFigure-Table-BodyTextCentre"/>
            </w:pPr>
            <w:r w:rsidRPr="003A257F">
              <w:t>17</w:t>
            </w:r>
          </w:p>
        </w:tc>
        <w:tc>
          <w:tcPr>
            <w:tcW w:w="1191" w:type="dxa"/>
            <w:tcBorders>
              <w:bottom w:val="single" w:sz="4" w:space="0" w:color="033636" w:themeColor="text2"/>
            </w:tcBorders>
            <w:tcMar>
              <w:top w:w="113" w:type="dxa"/>
              <w:left w:w="113" w:type="dxa"/>
              <w:bottom w:w="113" w:type="dxa"/>
              <w:right w:w="113" w:type="dxa"/>
            </w:tcMar>
            <w:vAlign w:val="center"/>
          </w:tcPr>
          <w:p w14:paraId="6CF79464" w14:textId="77777777" w:rsidR="003A257F" w:rsidRPr="003A257F" w:rsidRDefault="003A257F" w:rsidP="001E6632">
            <w:pPr>
              <w:pStyle w:val="CDIFigure-Table-BodyTextCentre"/>
            </w:pPr>
            <w:r w:rsidRPr="003A257F">
              <w:t>15</w:t>
            </w:r>
          </w:p>
        </w:tc>
        <w:tc>
          <w:tcPr>
            <w:tcW w:w="1190" w:type="dxa"/>
            <w:tcBorders>
              <w:bottom w:val="single" w:sz="4" w:space="0" w:color="033636" w:themeColor="text2"/>
            </w:tcBorders>
            <w:tcMar>
              <w:top w:w="113" w:type="dxa"/>
              <w:left w:w="113" w:type="dxa"/>
              <w:bottom w:w="113" w:type="dxa"/>
              <w:right w:w="113" w:type="dxa"/>
            </w:tcMar>
            <w:vAlign w:val="center"/>
          </w:tcPr>
          <w:p w14:paraId="7104A4E1" w14:textId="77777777" w:rsidR="003A257F" w:rsidRPr="003A257F" w:rsidRDefault="003A257F" w:rsidP="001E6632">
            <w:pPr>
              <w:pStyle w:val="CDIFigure-Table-BodyTextCentre"/>
            </w:pPr>
            <w:r w:rsidRPr="003A257F">
              <w:t>325%</w:t>
            </w:r>
          </w:p>
        </w:tc>
        <w:tc>
          <w:tcPr>
            <w:tcW w:w="1191" w:type="dxa"/>
            <w:tcBorders>
              <w:bottom w:val="single" w:sz="4" w:space="0" w:color="033636" w:themeColor="text2"/>
            </w:tcBorders>
            <w:tcMar>
              <w:top w:w="113" w:type="dxa"/>
              <w:left w:w="113" w:type="dxa"/>
              <w:bottom w:w="113" w:type="dxa"/>
              <w:right w:w="113" w:type="dxa"/>
            </w:tcMar>
            <w:vAlign w:val="center"/>
          </w:tcPr>
          <w:p w14:paraId="5A3642F3" w14:textId="77777777" w:rsidR="003A257F" w:rsidRPr="003A257F" w:rsidRDefault="003A257F" w:rsidP="001E6632">
            <w:pPr>
              <w:pStyle w:val="CDIFigure-Table-BodyTextCentre"/>
            </w:pPr>
            <w:r w:rsidRPr="003A257F">
              <w:t>227%</w:t>
            </w:r>
          </w:p>
        </w:tc>
        <w:tc>
          <w:tcPr>
            <w:tcW w:w="1190" w:type="dxa"/>
            <w:tcBorders>
              <w:bottom w:val="single" w:sz="4" w:space="0" w:color="033636" w:themeColor="text2"/>
            </w:tcBorders>
            <w:tcMar>
              <w:top w:w="113" w:type="dxa"/>
              <w:left w:w="113" w:type="dxa"/>
              <w:bottom w:w="113" w:type="dxa"/>
              <w:right w:w="113" w:type="dxa"/>
            </w:tcMar>
            <w:vAlign w:val="center"/>
          </w:tcPr>
          <w:p w14:paraId="6EB33DD0" w14:textId="77777777" w:rsidR="003A257F" w:rsidRPr="003A257F" w:rsidRDefault="003A257F" w:rsidP="001E6632">
            <w:pPr>
              <w:pStyle w:val="CDIFigure-Table-BodyTextCentre"/>
            </w:pPr>
            <w:r w:rsidRPr="003A257F">
              <w:t>275%</w:t>
            </w:r>
          </w:p>
        </w:tc>
        <w:tc>
          <w:tcPr>
            <w:tcW w:w="1134" w:type="dxa"/>
            <w:tcBorders>
              <w:bottom w:val="single" w:sz="4" w:space="0" w:color="033636" w:themeColor="text2"/>
            </w:tcBorders>
            <w:tcMar>
              <w:top w:w="113" w:type="dxa"/>
              <w:left w:w="113" w:type="dxa"/>
              <w:bottom w:w="113" w:type="dxa"/>
              <w:right w:w="113" w:type="dxa"/>
            </w:tcMar>
            <w:vAlign w:val="center"/>
          </w:tcPr>
          <w:p w14:paraId="6D575716" w14:textId="77777777" w:rsidR="003A257F" w:rsidRPr="003A257F" w:rsidRDefault="003A257F" w:rsidP="001E6632">
            <w:pPr>
              <w:pStyle w:val="CDIFigure-Table-BodyTextCentre"/>
            </w:pPr>
            <w:r w:rsidRPr="003A257F">
              <w:t>188%</w:t>
            </w:r>
          </w:p>
        </w:tc>
      </w:tr>
      <w:tr w:rsidR="001E6632" w:rsidRPr="003A257F" w14:paraId="26836995" w14:textId="77777777" w:rsidTr="001223AA">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5C36132" w14:textId="77777777" w:rsidR="003A257F" w:rsidRPr="003A257F" w:rsidRDefault="003A257F" w:rsidP="001E6632">
            <w:pPr>
              <w:pStyle w:val="CDIFigure-Table-BodyTextLeft"/>
            </w:pPr>
            <w:r w:rsidRPr="003A257F">
              <w:t>Vectorborne diseases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746D5F" w14:textId="77777777" w:rsidR="003A257F" w:rsidRPr="003A257F" w:rsidRDefault="003A257F" w:rsidP="001E6632">
            <w:pPr>
              <w:pStyle w:val="CDIFigure-Table-BodyTextLeft"/>
            </w:pPr>
            <w:r w:rsidRPr="003A257F">
              <w:t>Barmah Forest virus infection</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947D73" w14:textId="77777777" w:rsidR="003A257F" w:rsidRPr="003A257F" w:rsidRDefault="003A257F" w:rsidP="001E6632">
            <w:pPr>
              <w:pStyle w:val="CDIFigure-Table-BodyTextCentre"/>
            </w:pPr>
            <w:r w:rsidRPr="003A257F">
              <w:t>241</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9D777F" w14:textId="77777777" w:rsidR="003A257F" w:rsidRPr="003A257F" w:rsidRDefault="003A257F" w:rsidP="001E6632">
            <w:pPr>
              <w:pStyle w:val="CDIFigure-Table-BodyTextCentre"/>
            </w:pPr>
            <w:r w:rsidRPr="003A257F">
              <w:t>395</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FE315C" w14:textId="77777777" w:rsidR="003A257F" w:rsidRPr="003A257F" w:rsidRDefault="003A257F" w:rsidP="001E6632">
            <w:pPr>
              <w:pStyle w:val="CDIFigure-Table-BodyTextCentre"/>
            </w:pPr>
            <w:r w:rsidRPr="003A257F">
              <w:t>731</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B85164" w14:textId="77777777" w:rsidR="003A257F" w:rsidRPr="003A257F" w:rsidRDefault="003A257F" w:rsidP="001E6632">
            <w:pPr>
              <w:pStyle w:val="CDIFigure-Table-BodyTextCentre"/>
            </w:pPr>
            <w:r w:rsidRPr="003A257F">
              <w:t>383</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17414C" w14:textId="77777777" w:rsidR="003A257F" w:rsidRPr="003A257F" w:rsidRDefault="003A257F" w:rsidP="001E6632">
            <w:pPr>
              <w:pStyle w:val="CDIFigure-Table-BodyTextCentre"/>
            </w:pPr>
            <w:r w:rsidRPr="003A257F">
              <w:t>203%</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30BD88" w14:textId="77777777" w:rsidR="003A257F" w:rsidRPr="003A257F" w:rsidRDefault="003A257F" w:rsidP="001E6632">
            <w:pPr>
              <w:pStyle w:val="CDIFigure-Table-BodyTextCentre"/>
            </w:pPr>
            <w:r w:rsidRPr="003A257F">
              <w:t>85%</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E3B15F" w14:textId="77777777" w:rsidR="003A257F" w:rsidRPr="003A257F" w:rsidRDefault="003A257F" w:rsidP="001E6632">
            <w:pPr>
              <w:pStyle w:val="CDIFigure-Table-BodyTextCentre"/>
            </w:pPr>
            <w:r w:rsidRPr="003A257F">
              <w:t>59%</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184E60" w14:textId="77777777" w:rsidR="003A257F" w:rsidRPr="003A257F" w:rsidRDefault="003A257F" w:rsidP="001E6632">
            <w:pPr>
              <w:pStyle w:val="CDIFigure-Table-BodyTextCentre"/>
            </w:pPr>
            <w:r w:rsidRPr="003A257F">
              <w:t>-3%</w:t>
            </w:r>
          </w:p>
        </w:tc>
      </w:tr>
      <w:tr w:rsidR="003A257F" w:rsidRPr="003A257F" w14:paraId="6498D9D2" w14:textId="77777777" w:rsidTr="001223AA">
        <w:trPr>
          <w:divId w:val="935526654"/>
          <w:trHeight w:val="20"/>
        </w:trPr>
        <w:tc>
          <w:tcPr>
            <w:tcW w:w="1474" w:type="dxa"/>
            <w:vMerge/>
            <w:shd w:val="clear" w:color="auto" w:fill="C5FFEF" w:themeFill="background2" w:themeFillTint="33"/>
          </w:tcPr>
          <w:p w14:paraId="1A762F28" w14:textId="77777777" w:rsidR="003A257F" w:rsidRPr="003A257F" w:rsidRDefault="003A257F" w:rsidP="003A257F"/>
        </w:tc>
        <w:tc>
          <w:tcPr>
            <w:tcW w:w="3345" w:type="dxa"/>
            <w:tcMar>
              <w:top w:w="113" w:type="dxa"/>
              <w:left w:w="113" w:type="dxa"/>
              <w:bottom w:w="113" w:type="dxa"/>
              <w:right w:w="113" w:type="dxa"/>
            </w:tcMar>
            <w:vAlign w:val="center"/>
          </w:tcPr>
          <w:p w14:paraId="42FBC395" w14:textId="77777777" w:rsidR="003A257F" w:rsidRPr="003A257F" w:rsidRDefault="003A257F" w:rsidP="001E6632">
            <w:pPr>
              <w:pStyle w:val="CDIFigure-Table-BodyTextLeft"/>
            </w:pPr>
            <w:r w:rsidRPr="003A257F">
              <w:t>Chikungunya virus infection</w:t>
            </w:r>
          </w:p>
        </w:tc>
        <w:tc>
          <w:tcPr>
            <w:tcW w:w="1190" w:type="dxa"/>
            <w:tcMar>
              <w:top w:w="113" w:type="dxa"/>
              <w:left w:w="113" w:type="dxa"/>
              <w:bottom w:w="113" w:type="dxa"/>
              <w:right w:w="113" w:type="dxa"/>
            </w:tcMar>
            <w:vAlign w:val="center"/>
          </w:tcPr>
          <w:p w14:paraId="4F8B11DB" w14:textId="77777777" w:rsidR="003A257F" w:rsidRPr="003A257F" w:rsidRDefault="003A257F" w:rsidP="001E6632">
            <w:pPr>
              <w:pStyle w:val="CDIFigure-Table-BodyTextCentre"/>
            </w:pPr>
            <w:r w:rsidRPr="003A257F">
              <w:t>84</w:t>
            </w:r>
          </w:p>
        </w:tc>
        <w:tc>
          <w:tcPr>
            <w:tcW w:w="1248" w:type="dxa"/>
            <w:tcMar>
              <w:top w:w="113" w:type="dxa"/>
              <w:left w:w="113" w:type="dxa"/>
              <w:bottom w:w="113" w:type="dxa"/>
              <w:right w:w="113" w:type="dxa"/>
            </w:tcMar>
            <w:vAlign w:val="center"/>
          </w:tcPr>
          <w:p w14:paraId="2538D986" w14:textId="77777777" w:rsidR="003A257F" w:rsidRPr="003A257F" w:rsidRDefault="003A257F" w:rsidP="001E6632">
            <w:pPr>
              <w:pStyle w:val="CDIFigure-Table-BodyTextCentre"/>
            </w:pPr>
            <w:r w:rsidRPr="003A257F">
              <w:t>90</w:t>
            </w:r>
          </w:p>
        </w:tc>
        <w:tc>
          <w:tcPr>
            <w:tcW w:w="1190" w:type="dxa"/>
            <w:tcMar>
              <w:top w:w="113" w:type="dxa"/>
              <w:left w:w="113" w:type="dxa"/>
              <w:bottom w:w="113" w:type="dxa"/>
              <w:right w:w="113" w:type="dxa"/>
            </w:tcMar>
            <w:vAlign w:val="center"/>
          </w:tcPr>
          <w:p w14:paraId="10FDB0CA" w14:textId="77777777" w:rsidR="003A257F" w:rsidRPr="003A257F" w:rsidRDefault="003A257F" w:rsidP="001E6632">
            <w:pPr>
              <w:pStyle w:val="CDIFigure-Table-BodyTextCentre"/>
            </w:pPr>
            <w:r w:rsidRPr="003A257F">
              <w:t>33</w:t>
            </w:r>
          </w:p>
        </w:tc>
        <w:tc>
          <w:tcPr>
            <w:tcW w:w="1191" w:type="dxa"/>
            <w:tcMar>
              <w:top w:w="113" w:type="dxa"/>
              <w:left w:w="113" w:type="dxa"/>
              <w:bottom w:w="113" w:type="dxa"/>
              <w:right w:w="113" w:type="dxa"/>
            </w:tcMar>
            <w:vAlign w:val="center"/>
          </w:tcPr>
          <w:p w14:paraId="6F73F751" w14:textId="77777777" w:rsidR="003A257F" w:rsidRPr="003A257F" w:rsidRDefault="003A257F" w:rsidP="001E6632">
            <w:pPr>
              <w:pStyle w:val="CDIFigure-Table-BodyTextCentre"/>
            </w:pPr>
            <w:r w:rsidRPr="003A257F">
              <w:t>2</w:t>
            </w:r>
          </w:p>
        </w:tc>
        <w:tc>
          <w:tcPr>
            <w:tcW w:w="1190" w:type="dxa"/>
            <w:tcMar>
              <w:top w:w="113" w:type="dxa"/>
              <w:left w:w="113" w:type="dxa"/>
              <w:bottom w:w="113" w:type="dxa"/>
              <w:right w:w="113" w:type="dxa"/>
            </w:tcMar>
            <w:vAlign w:val="center"/>
          </w:tcPr>
          <w:p w14:paraId="4EE3D8A2" w14:textId="77777777" w:rsidR="003A257F" w:rsidRPr="003A257F" w:rsidRDefault="003A257F" w:rsidP="001E6632">
            <w:pPr>
              <w:pStyle w:val="CDIFigure-Table-BodyTextCentre"/>
            </w:pPr>
            <w:r w:rsidRPr="003A257F">
              <w:t>-61%</w:t>
            </w:r>
          </w:p>
        </w:tc>
        <w:tc>
          <w:tcPr>
            <w:tcW w:w="1191" w:type="dxa"/>
            <w:tcMar>
              <w:top w:w="113" w:type="dxa"/>
              <w:left w:w="113" w:type="dxa"/>
              <w:bottom w:w="113" w:type="dxa"/>
              <w:right w:w="113" w:type="dxa"/>
            </w:tcMar>
            <w:vAlign w:val="center"/>
          </w:tcPr>
          <w:p w14:paraId="15FAA296" w14:textId="77777777" w:rsidR="003A257F" w:rsidRPr="003A257F" w:rsidRDefault="003A257F" w:rsidP="001E6632">
            <w:pPr>
              <w:pStyle w:val="CDIFigure-Table-BodyTextCentre"/>
            </w:pPr>
            <w:r w:rsidRPr="003A257F">
              <w:t>-63%</w:t>
            </w:r>
          </w:p>
        </w:tc>
        <w:tc>
          <w:tcPr>
            <w:tcW w:w="1190" w:type="dxa"/>
            <w:tcMar>
              <w:top w:w="113" w:type="dxa"/>
              <w:left w:w="113" w:type="dxa"/>
              <w:bottom w:w="113" w:type="dxa"/>
              <w:right w:w="113" w:type="dxa"/>
            </w:tcMar>
            <w:vAlign w:val="center"/>
          </w:tcPr>
          <w:p w14:paraId="4B3BFEE7" w14:textId="77777777" w:rsidR="003A257F" w:rsidRPr="003A257F" w:rsidRDefault="003A257F" w:rsidP="001E6632">
            <w:pPr>
              <w:pStyle w:val="CDIFigure-Table-BodyTextCentre"/>
            </w:pPr>
            <w:r w:rsidRPr="003A257F">
              <w:t>-98%</w:t>
            </w:r>
          </w:p>
        </w:tc>
        <w:tc>
          <w:tcPr>
            <w:tcW w:w="1134" w:type="dxa"/>
            <w:tcMar>
              <w:top w:w="113" w:type="dxa"/>
              <w:left w:w="113" w:type="dxa"/>
              <w:bottom w:w="113" w:type="dxa"/>
              <w:right w:w="113" w:type="dxa"/>
            </w:tcMar>
            <w:vAlign w:val="center"/>
          </w:tcPr>
          <w:p w14:paraId="57AEB66A" w14:textId="77777777" w:rsidR="003A257F" w:rsidRPr="003A257F" w:rsidRDefault="003A257F" w:rsidP="001E6632">
            <w:pPr>
              <w:pStyle w:val="CDIFigure-Table-BodyTextCentre"/>
            </w:pPr>
            <w:r w:rsidRPr="003A257F">
              <w:t>-98%</w:t>
            </w:r>
          </w:p>
        </w:tc>
      </w:tr>
      <w:tr w:rsidR="001E6632" w:rsidRPr="003A257F" w14:paraId="11F473FF" w14:textId="77777777" w:rsidTr="001223AA">
        <w:trPr>
          <w:divId w:val="935526654"/>
          <w:trHeight w:val="20"/>
        </w:trPr>
        <w:tc>
          <w:tcPr>
            <w:tcW w:w="1474" w:type="dxa"/>
            <w:vMerge/>
            <w:shd w:val="clear" w:color="auto" w:fill="C5FFEF" w:themeFill="background2" w:themeFillTint="33"/>
          </w:tcPr>
          <w:p w14:paraId="56E93AE8"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4C85CC85" w14:textId="77777777" w:rsidR="003A257F" w:rsidRPr="003A257F" w:rsidRDefault="003A257F" w:rsidP="001E6632">
            <w:pPr>
              <w:pStyle w:val="CDIFigure-Table-BodyTextLeft"/>
            </w:pPr>
            <w:r w:rsidRPr="003A257F">
              <w:t>Dengue virus infection</w:t>
            </w:r>
          </w:p>
        </w:tc>
        <w:tc>
          <w:tcPr>
            <w:tcW w:w="1190" w:type="dxa"/>
            <w:shd w:val="clear" w:color="auto" w:fill="F2F2F2" w:themeFill="background1" w:themeFillShade="F2"/>
            <w:tcMar>
              <w:top w:w="113" w:type="dxa"/>
              <w:left w:w="113" w:type="dxa"/>
              <w:bottom w:w="113" w:type="dxa"/>
              <w:right w:w="113" w:type="dxa"/>
            </w:tcMar>
            <w:vAlign w:val="center"/>
          </w:tcPr>
          <w:p w14:paraId="4403D5EB" w14:textId="77777777" w:rsidR="003A257F" w:rsidRPr="003A257F" w:rsidRDefault="003A257F" w:rsidP="001E6632">
            <w:pPr>
              <w:pStyle w:val="CDIFigure-Table-BodyTextCentre"/>
            </w:pPr>
            <w:r w:rsidRPr="003A257F">
              <w:t>1,465</w:t>
            </w:r>
          </w:p>
        </w:tc>
        <w:tc>
          <w:tcPr>
            <w:tcW w:w="1248" w:type="dxa"/>
            <w:shd w:val="clear" w:color="auto" w:fill="F2F2F2" w:themeFill="background1" w:themeFillShade="F2"/>
            <w:tcMar>
              <w:top w:w="113" w:type="dxa"/>
              <w:left w:w="113" w:type="dxa"/>
              <w:bottom w:w="113" w:type="dxa"/>
              <w:right w:w="113" w:type="dxa"/>
            </w:tcMar>
            <w:vAlign w:val="center"/>
          </w:tcPr>
          <w:p w14:paraId="62327CC6" w14:textId="77777777" w:rsidR="003A257F" w:rsidRPr="003A257F" w:rsidRDefault="003A257F" w:rsidP="001E6632">
            <w:pPr>
              <w:pStyle w:val="CDIFigure-Table-BodyTextCentre"/>
            </w:pPr>
            <w:r w:rsidRPr="003A257F">
              <w:t>1,497</w:t>
            </w:r>
          </w:p>
        </w:tc>
        <w:tc>
          <w:tcPr>
            <w:tcW w:w="1190" w:type="dxa"/>
            <w:shd w:val="clear" w:color="auto" w:fill="F2F2F2" w:themeFill="background1" w:themeFillShade="F2"/>
            <w:tcMar>
              <w:top w:w="113" w:type="dxa"/>
              <w:left w:w="113" w:type="dxa"/>
              <w:bottom w:w="113" w:type="dxa"/>
              <w:right w:w="113" w:type="dxa"/>
            </w:tcMar>
            <w:vAlign w:val="center"/>
          </w:tcPr>
          <w:p w14:paraId="45E9A10E" w14:textId="77777777" w:rsidR="003A257F" w:rsidRPr="003A257F" w:rsidRDefault="003A257F" w:rsidP="001E6632">
            <w:pPr>
              <w:pStyle w:val="CDIFigure-Table-BodyTextCentre"/>
            </w:pPr>
            <w:r w:rsidRPr="003A257F">
              <w:t>224</w:t>
            </w:r>
          </w:p>
        </w:tc>
        <w:tc>
          <w:tcPr>
            <w:tcW w:w="1191" w:type="dxa"/>
            <w:shd w:val="clear" w:color="auto" w:fill="F2F2F2" w:themeFill="background1" w:themeFillShade="F2"/>
            <w:tcMar>
              <w:top w:w="113" w:type="dxa"/>
              <w:left w:w="113" w:type="dxa"/>
              <w:bottom w:w="113" w:type="dxa"/>
              <w:right w:w="113" w:type="dxa"/>
            </w:tcMar>
            <w:vAlign w:val="center"/>
          </w:tcPr>
          <w:p w14:paraId="2ED469DB" w14:textId="77777777" w:rsidR="003A257F" w:rsidRPr="003A257F" w:rsidRDefault="003A257F" w:rsidP="001E6632">
            <w:pPr>
              <w:pStyle w:val="CDIFigure-Table-BodyTextCentre"/>
            </w:pPr>
            <w:r w:rsidRPr="003A257F">
              <w:t>10</w:t>
            </w:r>
          </w:p>
        </w:tc>
        <w:tc>
          <w:tcPr>
            <w:tcW w:w="1190" w:type="dxa"/>
            <w:shd w:val="clear" w:color="auto" w:fill="F2F2F2" w:themeFill="background1" w:themeFillShade="F2"/>
            <w:tcMar>
              <w:top w:w="113" w:type="dxa"/>
              <w:left w:w="113" w:type="dxa"/>
              <w:bottom w:w="113" w:type="dxa"/>
              <w:right w:w="113" w:type="dxa"/>
            </w:tcMar>
            <w:vAlign w:val="center"/>
          </w:tcPr>
          <w:p w14:paraId="25EDD33F" w14:textId="77777777" w:rsidR="003A257F" w:rsidRPr="003A257F" w:rsidRDefault="003A257F" w:rsidP="001E6632">
            <w:pPr>
              <w:pStyle w:val="CDIFigure-Table-BodyTextCentre"/>
            </w:pPr>
            <w:r w:rsidRPr="003A257F">
              <w:t>-85%</w:t>
            </w:r>
          </w:p>
        </w:tc>
        <w:tc>
          <w:tcPr>
            <w:tcW w:w="1191" w:type="dxa"/>
            <w:shd w:val="clear" w:color="auto" w:fill="F2F2F2" w:themeFill="background1" w:themeFillShade="F2"/>
            <w:tcMar>
              <w:top w:w="113" w:type="dxa"/>
              <w:left w:w="113" w:type="dxa"/>
              <w:bottom w:w="113" w:type="dxa"/>
              <w:right w:w="113" w:type="dxa"/>
            </w:tcMar>
            <w:vAlign w:val="center"/>
          </w:tcPr>
          <w:p w14:paraId="2FCDE5D0" w14:textId="77777777" w:rsidR="003A257F" w:rsidRPr="003A257F" w:rsidRDefault="003A257F" w:rsidP="001E6632">
            <w:pPr>
              <w:pStyle w:val="CDIFigure-Table-BodyTextCentre"/>
            </w:pPr>
            <w:r w:rsidRPr="003A257F">
              <w:t>-85%</w:t>
            </w:r>
          </w:p>
        </w:tc>
        <w:tc>
          <w:tcPr>
            <w:tcW w:w="1190" w:type="dxa"/>
            <w:shd w:val="clear" w:color="auto" w:fill="F2F2F2" w:themeFill="background1" w:themeFillShade="F2"/>
            <w:tcMar>
              <w:top w:w="113" w:type="dxa"/>
              <w:left w:w="113" w:type="dxa"/>
              <w:bottom w:w="113" w:type="dxa"/>
              <w:right w:w="113" w:type="dxa"/>
            </w:tcMar>
            <w:vAlign w:val="center"/>
          </w:tcPr>
          <w:p w14:paraId="08F632CF" w14:textId="77777777" w:rsidR="003A257F" w:rsidRPr="003A257F" w:rsidRDefault="003A257F" w:rsidP="001E6632">
            <w:pPr>
              <w:pStyle w:val="CDIFigure-Table-BodyTextCentre"/>
            </w:pPr>
            <w:r w:rsidRPr="003A257F">
              <w:t>-99%</w:t>
            </w:r>
          </w:p>
        </w:tc>
        <w:tc>
          <w:tcPr>
            <w:tcW w:w="1134" w:type="dxa"/>
            <w:shd w:val="clear" w:color="auto" w:fill="F2F2F2" w:themeFill="background1" w:themeFillShade="F2"/>
            <w:tcMar>
              <w:top w:w="113" w:type="dxa"/>
              <w:left w:w="113" w:type="dxa"/>
              <w:bottom w:w="113" w:type="dxa"/>
              <w:right w:w="113" w:type="dxa"/>
            </w:tcMar>
            <w:vAlign w:val="center"/>
          </w:tcPr>
          <w:p w14:paraId="6807E54C" w14:textId="77777777" w:rsidR="003A257F" w:rsidRPr="003A257F" w:rsidRDefault="003A257F" w:rsidP="001E6632">
            <w:pPr>
              <w:pStyle w:val="CDIFigure-Table-BodyTextCentre"/>
            </w:pPr>
            <w:r w:rsidRPr="003A257F">
              <w:t>-99%</w:t>
            </w:r>
          </w:p>
        </w:tc>
      </w:tr>
      <w:tr w:rsidR="003A257F" w:rsidRPr="003A257F" w14:paraId="013B7E4D" w14:textId="77777777" w:rsidTr="001223AA">
        <w:trPr>
          <w:divId w:val="935526654"/>
          <w:trHeight w:val="20"/>
        </w:trPr>
        <w:tc>
          <w:tcPr>
            <w:tcW w:w="1474" w:type="dxa"/>
            <w:vMerge/>
            <w:shd w:val="clear" w:color="auto" w:fill="C5FFEF" w:themeFill="background2" w:themeFillTint="33"/>
          </w:tcPr>
          <w:p w14:paraId="6A12B9E0" w14:textId="77777777" w:rsidR="003A257F" w:rsidRPr="003A257F" w:rsidRDefault="003A257F" w:rsidP="003A257F"/>
        </w:tc>
        <w:tc>
          <w:tcPr>
            <w:tcW w:w="3345" w:type="dxa"/>
            <w:tcMar>
              <w:top w:w="113" w:type="dxa"/>
              <w:left w:w="113" w:type="dxa"/>
              <w:bottom w:w="113" w:type="dxa"/>
              <w:right w:w="113" w:type="dxa"/>
            </w:tcMar>
            <w:vAlign w:val="center"/>
          </w:tcPr>
          <w:p w14:paraId="6B71C813" w14:textId="77777777" w:rsidR="003A257F" w:rsidRPr="003A257F" w:rsidRDefault="003A257F" w:rsidP="001E6632">
            <w:pPr>
              <w:pStyle w:val="CDIFigure-Table-BodyTextLeft"/>
            </w:pPr>
            <w:r w:rsidRPr="003A257F">
              <w:t>Flavivirus infection (unspecified)</w:t>
            </w:r>
          </w:p>
        </w:tc>
        <w:tc>
          <w:tcPr>
            <w:tcW w:w="1190" w:type="dxa"/>
            <w:tcMar>
              <w:top w:w="113" w:type="dxa"/>
              <w:left w:w="113" w:type="dxa"/>
              <w:bottom w:w="113" w:type="dxa"/>
              <w:right w:w="113" w:type="dxa"/>
            </w:tcMar>
            <w:vAlign w:val="center"/>
          </w:tcPr>
          <w:p w14:paraId="07156ADB" w14:textId="77777777" w:rsidR="003A257F" w:rsidRPr="003A257F" w:rsidRDefault="003A257F" w:rsidP="001E6632">
            <w:pPr>
              <w:pStyle w:val="CDIFigure-Table-BodyTextCentre"/>
            </w:pPr>
            <w:r w:rsidRPr="003A257F">
              <w:t>10</w:t>
            </w:r>
          </w:p>
        </w:tc>
        <w:tc>
          <w:tcPr>
            <w:tcW w:w="1248" w:type="dxa"/>
            <w:tcMar>
              <w:top w:w="113" w:type="dxa"/>
              <w:left w:w="113" w:type="dxa"/>
              <w:bottom w:w="113" w:type="dxa"/>
              <w:right w:w="113" w:type="dxa"/>
            </w:tcMar>
            <w:vAlign w:val="center"/>
          </w:tcPr>
          <w:p w14:paraId="5BB1010A" w14:textId="77777777" w:rsidR="003A257F" w:rsidRPr="003A257F" w:rsidRDefault="003A257F" w:rsidP="001E6632">
            <w:pPr>
              <w:pStyle w:val="CDIFigure-Table-BodyTextCentre"/>
            </w:pPr>
            <w:r w:rsidRPr="003A257F">
              <w:t>32</w:t>
            </w:r>
          </w:p>
        </w:tc>
        <w:tc>
          <w:tcPr>
            <w:tcW w:w="1190" w:type="dxa"/>
            <w:tcMar>
              <w:top w:w="113" w:type="dxa"/>
              <w:left w:w="113" w:type="dxa"/>
              <w:bottom w:w="113" w:type="dxa"/>
              <w:right w:w="113" w:type="dxa"/>
            </w:tcMar>
            <w:vAlign w:val="center"/>
          </w:tcPr>
          <w:p w14:paraId="3081C04A" w14:textId="77777777" w:rsidR="003A257F" w:rsidRPr="003A257F" w:rsidRDefault="003A257F" w:rsidP="001E6632">
            <w:pPr>
              <w:pStyle w:val="CDIFigure-Table-BodyTextCentre"/>
            </w:pPr>
            <w:r w:rsidRPr="003A257F">
              <w:t>13</w:t>
            </w:r>
          </w:p>
        </w:tc>
        <w:tc>
          <w:tcPr>
            <w:tcW w:w="1191" w:type="dxa"/>
            <w:tcMar>
              <w:top w:w="113" w:type="dxa"/>
              <w:left w:w="113" w:type="dxa"/>
              <w:bottom w:w="113" w:type="dxa"/>
              <w:right w:w="113" w:type="dxa"/>
            </w:tcMar>
            <w:vAlign w:val="center"/>
          </w:tcPr>
          <w:p w14:paraId="7CBAA0AF" w14:textId="77777777" w:rsidR="003A257F" w:rsidRPr="003A257F" w:rsidRDefault="003A257F" w:rsidP="001E6632">
            <w:pPr>
              <w:pStyle w:val="CDIFigure-Table-BodyTextCentre"/>
            </w:pPr>
            <w:r w:rsidRPr="003A257F">
              <w:t>3</w:t>
            </w:r>
          </w:p>
        </w:tc>
        <w:tc>
          <w:tcPr>
            <w:tcW w:w="1190" w:type="dxa"/>
            <w:tcMar>
              <w:top w:w="113" w:type="dxa"/>
              <w:left w:w="113" w:type="dxa"/>
              <w:bottom w:w="113" w:type="dxa"/>
              <w:right w:w="113" w:type="dxa"/>
            </w:tcMar>
            <w:vAlign w:val="center"/>
          </w:tcPr>
          <w:p w14:paraId="1EB3568F" w14:textId="77777777" w:rsidR="003A257F" w:rsidRPr="003A257F" w:rsidRDefault="003A257F" w:rsidP="001E6632">
            <w:pPr>
              <w:pStyle w:val="CDIFigure-Table-BodyTextCentre"/>
            </w:pPr>
            <w:r w:rsidRPr="003A257F">
              <w:t>30%</w:t>
            </w:r>
          </w:p>
        </w:tc>
        <w:tc>
          <w:tcPr>
            <w:tcW w:w="1191" w:type="dxa"/>
            <w:tcMar>
              <w:top w:w="113" w:type="dxa"/>
              <w:left w:w="113" w:type="dxa"/>
              <w:bottom w:w="113" w:type="dxa"/>
              <w:right w:w="113" w:type="dxa"/>
            </w:tcMar>
            <w:vAlign w:val="center"/>
          </w:tcPr>
          <w:p w14:paraId="610C5E86" w14:textId="77777777" w:rsidR="003A257F" w:rsidRPr="003A257F" w:rsidRDefault="003A257F" w:rsidP="001E6632">
            <w:pPr>
              <w:pStyle w:val="CDIFigure-Table-BodyTextCentre"/>
            </w:pPr>
            <w:r w:rsidRPr="003A257F">
              <w:t>-60%</w:t>
            </w:r>
          </w:p>
        </w:tc>
        <w:tc>
          <w:tcPr>
            <w:tcW w:w="1190" w:type="dxa"/>
            <w:tcMar>
              <w:top w:w="113" w:type="dxa"/>
              <w:left w:w="113" w:type="dxa"/>
              <w:bottom w:w="113" w:type="dxa"/>
              <w:right w:w="113" w:type="dxa"/>
            </w:tcMar>
            <w:vAlign w:val="center"/>
          </w:tcPr>
          <w:p w14:paraId="32932BD3" w14:textId="77777777" w:rsidR="003A257F" w:rsidRPr="003A257F" w:rsidRDefault="003A257F" w:rsidP="001E6632">
            <w:pPr>
              <w:pStyle w:val="CDIFigure-Table-BodyTextCentre"/>
            </w:pPr>
            <w:r w:rsidRPr="003A257F">
              <w:t>-70%</w:t>
            </w:r>
          </w:p>
        </w:tc>
        <w:tc>
          <w:tcPr>
            <w:tcW w:w="1134" w:type="dxa"/>
            <w:tcMar>
              <w:top w:w="113" w:type="dxa"/>
              <w:left w:w="113" w:type="dxa"/>
              <w:bottom w:w="113" w:type="dxa"/>
              <w:right w:w="113" w:type="dxa"/>
            </w:tcMar>
            <w:vAlign w:val="center"/>
          </w:tcPr>
          <w:p w14:paraId="5304FBC4" w14:textId="77777777" w:rsidR="003A257F" w:rsidRPr="003A257F" w:rsidRDefault="003A257F" w:rsidP="001E6632">
            <w:pPr>
              <w:pStyle w:val="CDIFigure-Table-BodyTextCentre"/>
            </w:pPr>
            <w:r w:rsidRPr="003A257F">
              <w:t>-91%</w:t>
            </w:r>
          </w:p>
        </w:tc>
      </w:tr>
      <w:tr w:rsidR="001E6632" w:rsidRPr="003A257F" w14:paraId="1ADB343D" w14:textId="77777777" w:rsidTr="001223AA">
        <w:trPr>
          <w:divId w:val="935526654"/>
          <w:trHeight w:val="20"/>
        </w:trPr>
        <w:tc>
          <w:tcPr>
            <w:tcW w:w="1474" w:type="dxa"/>
            <w:vMerge/>
            <w:shd w:val="clear" w:color="auto" w:fill="C5FFEF" w:themeFill="background2" w:themeFillTint="33"/>
          </w:tcPr>
          <w:p w14:paraId="6268F942"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702F3609" w14:textId="77777777" w:rsidR="003A257F" w:rsidRPr="003A257F" w:rsidRDefault="003A257F" w:rsidP="001E6632">
            <w:pPr>
              <w:pStyle w:val="CDIFigure-Table-BodyTextLeft"/>
            </w:pPr>
            <w:r w:rsidRPr="003A257F">
              <w:t>Japanese encephalitis virus infection</w:t>
            </w:r>
          </w:p>
        </w:tc>
        <w:tc>
          <w:tcPr>
            <w:tcW w:w="1190" w:type="dxa"/>
            <w:shd w:val="clear" w:color="auto" w:fill="F2F2F2" w:themeFill="background1" w:themeFillShade="F2"/>
            <w:tcMar>
              <w:top w:w="113" w:type="dxa"/>
              <w:left w:w="113" w:type="dxa"/>
              <w:bottom w:w="113" w:type="dxa"/>
              <w:right w:w="113" w:type="dxa"/>
            </w:tcMar>
            <w:vAlign w:val="center"/>
          </w:tcPr>
          <w:p w14:paraId="5E38F380" w14:textId="77777777" w:rsidR="003A257F" w:rsidRPr="003A257F" w:rsidRDefault="003A257F" w:rsidP="001E6632">
            <w:pPr>
              <w:pStyle w:val="CDIFigure-Table-BodyTextCentre"/>
            </w:pPr>
            <w:r w:rsidRPr="003A257F">
              <w:t>3</w:t>
            </w:r>
          </w:p>
        </w:tc>
        <w:tc>
          <w:tcPr>
            <w:tcW w:w="1248" w:type="dxa"/>
            <w:shd w:val="clear" w:color="auto" w:fill="F2F2F2" w:themeFill="background1" w:themeFillShade="F2"/>
            <w:tcMar>
              <w:top w:w="113" w:type="dxa"/>
              <w:left w:w="113" w:type="dxa"/>
              <w:bottom w:w="113" w:type="dxa"/>
              <w:right w:w="113" w:type="dxa"/>
            </w:tcMar>
            <w:vAlign w:val="center"/>
          </w:tcPr>
          <w:p w14:paraId="49E255A2" w14:textId="77777777" w:rsidR="003A257F" w:rsidRPr="003A257F" w:rsidRDefault="003A257F" w:rsidP="001E6632">
            <w:pPr>
              <w:pStyle w:val="CDIFigure-Table-BodyTextCentre"/>
            </w:pPr>
            <w:r w:rsidRPr="003A257F">
              <w:t>2</w:t>
            </w:r>
          </w:p>
        </w:tc>
        <w:tc>
          <w:tcPr>
            <w:tcW w:w="1190" w:type="dxa"/>
            <w:shd w:val="clear" w:color="auto" w:fill="F2F2F2" w:themeFill="background1" w:themeFillShade="F2"/>
            <w:tcMar>
              <w:top w:w="113" w:type="dxa"/>
              <w:left w:w="113" w:type="dxa"/>
              <w:bottom w:w="113" w:type="dxa"/>
              <w:right w:w="113" w:type="dxa"/>
            </w:tcMar>
            <w:vAlign w:val="center"/>
          </w:tcPr>
          <w:p w14:paraId="0AFC036B" w14:textId="77777777" w:rsidR="003A257F" w:rsidRPr="003A257F" w:rsidRDefault="003A257F" w:rsidP="001E6632">
            <w:pPr>
              <w:pStyle w:val="CDIFigure-Table-BodyTextCentre"/>
            </w:pPr>
            <w:r w:rsidRPr="003A257F">
              <w:t>1</w:t>
            </w:r>
          </w:p>
        </w:tc>
        <w:tc>
          <w:tcPr>
            <w:tcW w:w="1191" w:type="dxa"/>
            <w:shd w:val="clear" w:color="auto" w:fill="F2F2F2" w:themeFill="background1" w:themeFillShade="F2"/>
            <w:tcMar>
              <w:top w:w="113" w:type="dxa"/>
              <w:left w:w="113" w:type="dxa"/>
              <w:bottom w:w="113" w:type="dxa"/>
              <w:right w:w="113" w:type="dxa"/>
            </w:tcMar>
            <w:vAlign w:val="center"/>
          </w:tcPr>
          <w:p w14:paraId="011BD201" w14:textId="77777777" w:rsidR="003A257F" w:rsidRPr="003A257F" w:rsidRDefault="003A257F" w:rsidP="001E6632">
            <w:pPr>
              <w:pStyle w:val="CDIFigure-Table-BodyTextCentre"/>
            </w:pPr>
            <w:r w:rsidRPr="003A257F">
              <w:t>1</w:t>
            </w:r>
          </w:p>
        </w:tc>
        <w:tc>
          <w:tcPr>
            <w:tcW w:w="1190" w:type="dxa"/>
            <w:shd w:val="clear" w:color="auto" w:fill="F2F2F2" w:themeFill="background1" w:themeFillShade="F2"/>
            <w:tcMar>
              <w:top w:w="113" w:type="dxa"/>
              <w:left w:w="113" w:type="dxa"/>
              <w:bottom w:w="113" w:type="dxa"/>
              <w:right w:w="113" w:type="dxa"/>
            </w:tcMar>
            <w:vAlign w:val="center"/>
          </w:tcPr>
          <w:p w14:paraId="23541155" w14:textId="77777777" w:rsidR="003A257F" w:rsidRPr="003A257F" w:rsidRDefault="003A257F" w:rsidP="001E6632">
            <w:pPr>
              <w:pStyle w:val="CDIFigure-Table-BodyTextCentre"/>
            </w:pPr>
            <w:r w:rsidRPr="003A257F">
              <w:t>-67%</w:t>
            </w:r>
          </w:p>
        </w:tc>
        <w:tc>
          <w:tcPr>
            <w:tcW w:w="1191" w:type="dxa"/>
            <w:shd w:val="clear" w:color="auto" w:fill="F2F2F2" w:themeFill="background1" w:themeFillShade="F2"/>
            <w:tcMar>
              <w:top w:w="113" w:type="dxa"/>
              <w:left w:w="113" w:type="dxa"/>
              <w:bottom w:w="113" w:type="dxa"/>
              <w:right w:w="113" w:type="dxa"/>
            </w:tcMar>
            <w:vAlign w:val="center"/>
          </w:tcPr>
          <w:p w14:paraId="6B29C0B8" w14:textId="77777777" w:rsidR="003A257F" w:rsidRPr="003A257F" w:rsidRDefault="003A257F" w:rsidP="001E6632">
            <w:pPr>
              <w:pStyle w:val="CDIFigure-Table-BodyTextCentre"/>
            </w:pPr>
            <w:r w:rsidRPr="003A257F">
              <w:t>-43%</w:t>
            </w:r>
          </w:p>
        </w:tc>
        <w:tc>
          <w:tcPr>
            <w:tcW w:w="1190" w:type="dxa"/>
            <w:shd w:val="clear" w:color="auto" w:fill="F2F2F2" w:themeFill="background1" w:themeFillShade="F2"/>
            <w:tcMar>
              <w:top w:w="113" w:type="dxa"/>
              <w:left w:w="113" w:type="dxa"/>
              <w:bottom w:w="113" w:type="dxa"/>
              <w:right w:w="113" w:type="dxa"/>
            </w:tcMar>
            <w:vAlign w:val="center"/>
          </w:tcPr>
          <w:p w14:paraId="3BD34C31" w14:textId="77777777" w:rsidR="003A257F" w:rsidRPr="003A257F" w:rsidRDefault="003A257F" w:rsidP="001E6632">
            <w:pPr>
              <w:pStyle w:val="CDIFigure-Table-BodyTextCentre"/>
            </w:pPr>
            <w:r w:rsidRPr="003A257F">
              <w:t>-67%</w:t>
            </w:r>
          </w:p>
        </w:tc>
        <w:tc>
          <w:tcPr>
            <w:tcW w:w="1134" w:type="dxa"/>
            <w:shd w:val="clear" w:color="auto" w:fill="F2F2F2" w:themeFill="background1" w:themeFillShade="F2"/>
            <w:tcMar>
              <w:top w:w="113" w:type="dxa"/>
              <w:left w:w="113" w:type="dxa"/>
              <w:bottom w:w="113" w:type="dxa"/>
              <w:right w:w="113" w:type="dxa"/>
            </w:tcMar>
            <w:vAlign w:val="center"/>
          </w:tcPr>
          <w:p w14:paraId="341EC0E7" w14:textId="77777777" w:rsidR="003A257F" w:rsidRPr="003A257F" w:rsidRDefault="003A257F" w:rsidP="001E6632">
            <w:pPr>
              <w:pStyle w:val="CDIFigure-Table-BodyTextCentre"/>
            </w:pPr>
            <w:r w:rsidRPr="003A257F">
              <w:t>-43%</w:t>
            </w:r>
          </w:p>
        </w:tc>
      </w:tr>
      <w:tr w:rsidR="003A257F" w:rsidRPr="003A257F" w14:paraId="77077A7A" w14:textId="77777777" w:rsidTr="001223AA">
        <w:trPr>
          <w:divId w:val="935526654"/>
          <w:trHeight w:val="20"/>
        </w:trPr>
        <w:tc>
          <w:tcPr>
            <w:tcW w:w="1474" w:type="dxa"/>
            <w:vMerge/>
            <w:shd w:val="clear" w:color="auto" w:fill="C5FFEF" w:themeFill="background2" w:themeFillTint="33"/>
          </w:tcPr>
          <w:p w14:paraId="666FC53A" w14:textId="77777777" w:rsidR="003A257F" w:rsidRPr="003A257F" w:rsidRDefault="003A257F" w:rsidP="003A257F"/>
        </w:tc>
        <w:tc>
          <w:tcPr>
            <w:tcW w:w="3345" w:type="dxa"/>
            <w:tcMar>
              <w:top w:w="113" w:type="dxa"/>
              <w:left w:w="113" w:type="dxa"/>
              <w:bottom w:w="113" w:type="dxa"/>
              <w:right w:w="113" w:type="dxa"/>
            </w:tcMar>
            <w:vAlign w:val="center"/>
          </w:tcPr>
          <w:p w14:paraId="68EE1D55" w14:textId="77777777" w:rsidR="003A257F" w:rsidRPr="003A257F" w:rsidRDefault="003A257F" w:rsidP="001E6632">
            <w:pPr>
              <w:pStyle w:val="CDIFigure-Table-BodyTextLeft"/>
            </w:pPr>
            <w:r w:rsidRPr="003A257F">
              <w:t>Malaria</w:t>
            </w:r>
          </w:p>
        </w:tc>
        <w:tc>
          <w:tcPr>
            <w:tcW w:w="1190" w:type="dxa"/>
            <w:tcMar>
              <w:top w:w="113" w:type="dxa"/>
              <w:left w:w="113" w:type="dxa"/>
              <w:bottom w:w="113" w:type="dxa"/>
              <w:right w:w="113" w:type="dxa"/>
            </w:tcMar>
            <w:vAlign w:val="center"/>
          </w:tcPr>
          <w:p w14:paraId="11E828DD" w14:textId="77777777" w:rsidR="003A257F" w:rsidRPr="003A257F" w:rsidRDefault="003A257F" w:rsidP="001E6632">
            <w:pPr>
              <w:pStyle w:val="CDIFigure-Table-BodyTextCentre"/>
            </w:pPr>
            <w:r w:rsidRPr="003A257F">
              <w:t>379</w:t>
            </w:r>
          </w:p>
        </w:tc>
        <w:tc>
          <w:tcPr>
            <w:tcW w:w="1248" w:type="dxa"/>
            <w:tcMar>
              <w:top w:w="113" w:type="dxa"/>
              <w:left w:w="113" w:type="dxa"/>
              <w:bottom w:w="113" w:type="dxa"/>
              <w:right w:w="113" w:type="dxa"/>
            </w:tcMar>
            <w:vAlign w:val="center"/>
          </w:tcPr>
          <w:p w14:paraId="127457BE" w14:textId="77777777" w:rsidR="003A257F" w:rsidRPr="003A257F" w:rsidRDefault="003A257F" w:rsidP="001E6632">
            <w:pPr>
              <w:pStyle w:val="CDIFigure-Table-BodyTextCentre"/>
            </w:pPr>
            <w:r w:rsidRPr="003A257F">
              <w:t>338</w:t>
            </w:r>
          </w:p>
        </w:tc>
        <w:tc>
          <w:tcPr>
            <w:tcW w:w="1190" w:type="dxa"/>
            <w:tcMar>
              <w:top w:w="113" w:type="dxa"/>
              <w:left w:w="113" w:type="dxa"/>
              <w:bottom w:w="113" w:type="dxa"/>
              <w:right w:w="113" w:type="dxa"/>
            </w:tcMar>
            <w:vAlign w:val="center"/>
          </w:tcPr>
          <w:p w14:paraId="1456C302" w14:textId="77777777" w:rsidR="003A257F" w:rsidRPr="003A257F" w:rsidRDefault="003A257F" w:rsidP="001E6632">
            <w:pPr>
              <w:pStyle w:val="CDIFigure-Table-BodyTextCentre"/>
            </w:pPr>
            <w:r w:rsidRPr="003A257F">
              <w:t>158</w:t>
            </w:r>
          </w:p>
        </w:tc>
        <w:tc>
          <w:tcPr>
            <w:tcW w:w="1191" w:type="dxa"/>
            <w:tcMar>
              <w:top w:w="113" w:type="dxa"/>
              <w:left w:w="113" w:type="dxa"/>
              <w:bottom w:w="113" w:type="dxa"/>
              <w:right w:w="113" w:type="dxa"/>
            </w:tcMar>
            <w:vAlign w:val="center"/>
          </w:tcPr>
          <w:p w14:paraId="5F83D2EE" w14:textId="77777777" w:rsidR="003A257F" w:rsidRPr="003A257F" w:rsidRDefault="003A257F" w:rsidP="001E6632">
            <w:pPr>
              <w:pStyle w:val="CDIFigure-Table-BodyTextCentre"/>
            </w:pPr>
            <w:r w:rsidRPr="003A257F">
              <w:t>56</w:t>
            </w:r>
          </w:p>
        </w:tc>
        <w:tc>
          <w:tcPr>
            <w:tcW w:w="1190" w:type="dxa"/>
            <w:tcMar>
              <w:top w:w="113" w:type="dxa"/>
              <w:left w:w="113" w:type="dxa"/>
              <w:bottom w:w="113" w:type="dxa"/>
              <w:right w:w="113" w:type="dxa"/>
            </w:tcMar>
            <w:vAlign w:val="center"/>
          </w:tcPr>
          <w:p w14:paraId="5F3FDEEF" w14:textId="77777777" w:rsidR="003A257F" w:rsidRPr="003A257F" w:rsidRDefault="003A257F" w:rsidP="001E6632">
            <w:pPr>
              <w:pStyle w:val="CDIFigure-Table-BodyTextCentre"/>
            </w:pPr>
            <w:r w:rsidRPr="003A257F">
              <w:t>-58%</w:t>
            </w:r>
          </w:p>
        </w:tc>
        <w:tc>
          <w:tcPr>
            <w:tcW w:w="1191" w:type="dxa"/>
            <w:tcMar>
              <w:top w:w="113" w:type="dxa"/>
              <w:left w:w="113" w:type="dxa"/>
              <w:bottom w:w="113" w:type="dxa"/>
              <w:right w:w="113" w:type="dxa"/>
            </w:tcMar>
            <w:vAlign w:val="center"/>
          </w:tcPr>
          <w:p w14:paraId="305854EF" w14:textId="77777777" w:rsidR="003A257F" w:rsidRPr="003A257F" w:rsidRDefault="003A257F" w:rsidP="001E6632">
            <w:pPr>
              <w:pStyle w:val="CDIFigure-Table-BodyTextCentre"/>
            </w:pPr>
            <w:r w:rsidRPr="003A257F">
              <w:t>-53%</w:t>
            </w:r>
          </w:p>
        </w:tc>
        <w:tc>
          <w:tcPr>
            <w:tcW w:w="1190" w:type="dxa"/>
            <w:tcMar>
              <w:top w:w="113" w:type="dxa"/>
              <w:left w:w="113" w:type="dxa"/>
              <w:bottom w:w="113" w:type="dxa"/>
              <w:right w:w="113" w:type="dxa"/>
            </w:tcMar>
            <w:vAlign w:val="center"/>
          </w:tcPr>
          <w:p w14:paraId="47BF340F" w14:textId="77777777" w:rsidR="003A257F" w:rsidRPr="003A257F" w:rsidRDefault="003A257F" w:rsidP="001E6632">
            <w:pPr>
              <w:pStyle w:val="CDIFigure-Table-BodyTextCentre"/>
            </w:pPr>
            <w:r w:rsidRPr="003A257F">
              <w:t>-85%</w:t>
            </w:r>
          </w:p>
        </w:tc>
        <w:tc>
          <w:tcPr>
            <w:tcW w:w="1134" w:type="dxa"/>
            <w:tcMar>
              <w:top w:w="113" w:type="dxa"/>
              <w:left w:w="113" w:type="dxa"/>
              <w:bottom w:w="113" w:type="dxa"/>
              <w:right w:w="113" w:type="dxa"/>
            </w:tcMar>
            <w:vAlign w:val="center"/>
          </w:tcPr>
          <w:p w14:paraId="0D3CF81F" w14:textId="77777777" w:rsidR="003A257F" w:rsidRPr="003A257F" w:rsidRDefault="003A257F" w:rsidP="001E6632">
            <w:pPr>
              <w:pStyle w:val="CDIFigure-Table-BodyTextCentre"/>
            </w:pPr>
            <w:r w:rsidRPr="003A257F">
              <w:t>-83%</w:t>
            </w:r>
          </w:p>
        </w:tc>
      </w:tr>
      <w:tr w:rsidR="001E6632" w:rsidRPr="003A257F" w14:paraId="3254872B" w14:textId="77777777" w:rsidTr="001223AA">
        <w:trPr>
          <w:divId w:val="935526654"/>
          <w:trHeight w:val="20"/>
        </w:trPr>
        <w:tc>
          <w:tcPr>
            <w:tcW w:w="1474" w:type="dxa"/>
            <w:vMerge/>
            <w:shd w:val="clear" w:color="auto" w:fill="C5FFEF" w:themeFill="background2" w:themeFillTint="33"/>
          </w:tcPr>
          <w:p w14:paraId="74F28384" w14:textId="77777777" w:rsidR="003A257F" w:rsidRPr="003A257F" w:rsidRDefault="003A257F" w:rsidP="003A257F"/>
        </w:tc>
        <w:tc>
          <w:tcPr>
            <w:tcW w:w="3345" w:type="dxa"/>
            <w:shd w:val="clear" w:color="auto" w:fill="F2F2F2" w:themeFill="background1" w:themeFillShade="F2"/>
            <w:tcMar>
              <w:top w:w="113" w:type="dxa"/>
              <w:left w:w="113" w:type="dxa"/>
              <w:bottom w:w="113" w:type="dxa"/>
              <w:right w:w="113" w:type="dxa"/>
            </w:tcMar>
            <w:vAlign w:val="center"/>
          </w:tcPr>
          <w:p w14:paraId="16AC600F" w14:textId="77777777" w:rsidR="003A257F" w:rsidRPr="003A257F" w:rsidRDefault="003A257F" w:rsidP="001E6632">
            <w:pPr>
              <w:pStyle w:val="CDIFigure-Table-BodyTextLeft"/>
            </w:pPr>
            <w:r w:rsidRPr="003A257F">
              <w:t>Murray Valley encephalitis virus infection</w:t>
            </w:r>
          </w:p>
        </w:tc>
        <w:tc>
          <w:tcPr>
            <w:tcW w:w="1190" w:type="dxa"/>
            <w:shd w:val="clear" w:color="auto" w:fill="F2F2F2" w:themeFill="background1" w:themeFillShade="F2"/>
            <w:tcMar>
              <w:top w:w="113" w:type="dxa"/>
              <w:left w:w="113" w:type="dxa"/>
              <w:bottom w:w="113" w:type="dxa"/>
              <w:right w:w="113" w:type="dxa"/>
            </w:tcMar>
            <w:vAlign w:val="center"/>
          </w:tcPr>
          <w:p w14:paraId="6DEDD1B9" w14:textId="77777777" w:rsidR="003A257F" w:rsidRPr="003A257F" w:rsidRDefault="003A257F" w:rsidP="001E6632">
            <w:pPr>
              <w:pStyle w:val="CDIFigure-Table-BodyTextCentre"/>
            </w:pPr>
            <w:r w:rsidRPr="003A257F">
              <w:t>0</w:t>
            </w:r>
          </w:p>
        </w:tc>
        <w:tc>
          <w:tcPr>
            <w:tcW w:w="1248" w:type="dxa"/>
            <w:shd w:val="clear" w:color="auto" w:fill="F2F2F2" w:themeFill="background1" w:themeFillShade="F2"/>
            <w:tcMar>
              <w:top w:w="113" w:type="dxa"/>
              <w:left w:w="113" w:type="dxa"/>
              <w:bottom w:w="113" w:type="dxa"/>
              <w:right w:w="113" w:type="dxa"/>
            </w:tcMar>
            <w:vAlign w:val="center"/>
          </w:tcPr>
          <w:p w14:paraId="5793A1D6" w14:textId="77777777" w:rsidR="003A257F" w:rsidRPr="003A257F" w:rsidRDefault="003A257F" w:rsidP="001E6632">
            <w:pPr>
              <w:pStyle w:val="CDIFigure-Table-BodyTextCentre"/>
            </w:pPr>
            <w:r w:rsidRPr="003A257F">
              <w:t>1</w:t>
            </w:r>
          </w:p>
        </w:tc>
        <w:tc>
          <w:tcPr>
            <w:tcW w:w="1190" w:type="dxa"/>
            <w:shd w:val="clear" w:color="auto" w:fill="F2F2F2" w:themeFill="background1" w:themeFillShade="F2"/>
            <w:tcMar>
              <w:top w:w="113" w:type="dxa"/>
              <w:left w:w="113" w:type="dxa"/>
              <w:bottom w:w="113" w:type="dxa"/>
              <w:right w:w="113" w:type="dxa"/>
            </w:tcMar>
            <w:vAlign w:val="center"/>
          </w:tcPr>
          <w:p w14:paraId="55B483DB" w14:textId="77777777" w:rsidR="003A257F" w:rsidRPr="003A257F" w:rsidRDefault="003A257F" w:rsidP="001E6632">
            <w:pPr>
              <w:pStyle w:val="CDIFigure-Table-BodyTextCentre"/>
            </w:pPr>
            <w:r w:rsidRPr="003A257F">
              <w:t>0</w:t>
            </w:r>
          </w:p>
        </w:tc>
        <w:tc>
          <w:tcPr>
            <w:tcW w:w="1191" w:type="dxa"/>
            <w:shd w:val="clear" w:color="auto" w:fill="F2F2F2" w:themeFill="background1" w:themeFillShade="F2"/>
            <w:tcMar>
              <w:top w:w="113" w:type="dxa"/>
              <w:left w:w="113" w:type="dxa"/>
              <w:bottom w:w="113" w:type="dxa"/>
              <w:right w:w="113" w:type="dxa"/>
            </w:tcMar>
            <w:vAlign w:val="center"/>
          </w:tcPr>
          <w:p w14:paraId="09333EBB" w14:textId="77777777" w:rsidR="003A257F" w:rsidRPr="003A257F" w:rsidRDefault="003A257F" w:rsidP="001E6632">
            <w:pPr>
              <w:pStyle w:val="CDIFigure-Table-BodyTextCentre"/>
            </w:pPr>
            <w:r w:rsidRPr="003A257F">
              <w:t>1</w:t>
            </w:r>
          </w:p>
        </w:tc>
        <w:tc>
          <w:tcPr>
            <w:tcW w:w="1190" w:type="dxa"/>
            <w:shd w:val="clear" w:color="auto" w:fill="F2F2F2" w:themeFill="background1" w:themeFillShade="F2"/>
            <w:tcMar>
              <w:top w:w="113" w:type="dxa"/>
              <w:left w:w="113" w:type="dxa"/>
              <w:bottom w:w="113" w:type="dxa"/>
              <w:right w:w="113" w:type="dxa"/>
            </w:tcMar>
            <w:vAlign w:val="center"/>
          </w:tcPr>
          <w:p w14:paraId="0DFA3B11" w14:textId="77777777" w:rsidR="003A257F" w:rsidRPr="003A257F" w:rsidRDefault="003A257F" w:rsidP="001E6632">
            <w:pPr>
              <w:pStyle w:val="CDIFigure-Table-BodyTextCentre"/>
            </w:pPr>
            <w:r w:rsidRPr="003A257F">
              <w:t>—</w:t>
            </w:r>
          </w:p>
        </w:tc>
        <w:tc>
          <w:tcPr>
            <w:tcW w:w="1191" w:type="dxa"/>
            <w:shd w:val="clear" w:color="auto" w:fill="F2F2F2" w:themeFill="background1" w:themeFillShade="F2"/>
            <w:tcMar>
              <w:top w:w="113" w:type="dxa"/>
              <w:left w:w="113" w:type="dxa"/>
              <w:bottom w:w="113" w:type="dxa"/>
              <w:right w:w="113" w:type="dxa"/>
            </w:tcMar>
            <w:vAlign w:val="center"/>
          </w:tcPr>
          <w:p w14:paraId="53B8B851" w14:textId="77777777" w:rsidR="003A257F" w:rsidRPr="003A257F" w:rsidRDefault="003A257F" w:rsidP="001E6632">
            <w:pPr>
              <w:pStyle w:val="CDIFigure-Table-BodyTextCentre"/>
            </w:pPr>
            <w:r w:rsidRPr="003A257F">
              <w:t>—</w:t>
            </w:r>
          </w:p>
        </w:tc>
        <w:tc>
          <w:tcPr>
            <w:tcW w:w="1190" w:type="dxa"/>
            <w:shd w:val="clear" w:color="auto" w:fill="F2F2F2" w:themeFill="background1" w:themeFillShade="F2"/>
            <w:tcMar>
              <w:top w:w="113" w:type="dxa"/>
              <w:left w:w="113" w:type="dxa"/>
              <w:bottom w:w="113" w:type="dxa"/>
              <w:right w:w="113" w:type="dxa"/>
            </w:tcMar>
            <w:vAlign w:val="center"/>
          </w:tcPr>
          <w:p w14:paraId="7083DDA7" w14:textId="77777777" w:rsidR="003A257F" w:rsidRPr="003A257F" w:rsidRDefault="003A257F" w:rsidP="001E6632">
            <w:pPr>
              <w:pStyle w:val="CDIFigure-Table-BodyTextCentre"/>
            </w:pPr>
            <w:r w:rsidRPr="003A257F">
              <w:t>—</w:t>
            </w:r>
          </w:p>
        </w:tc>
        <w:tc>
          <w:tcPr>
            <w:tcW w:w="1134" w:type="dxa"/>
            <w:shd w:val="clear" w:color="auto" w:fill="F2F2F2" w:themeFill="background1" w:themeFillShade="F2"/>
            <w:tcMar>
              <w:top w:w="113" w:type="dxa"/>
              <w:left w:w="113" w:type="dxa"/>
              <w:bottom w:w="113" w:type="dxa"/>
              <w:right w:w="113" w:type="dxa"/>
            </w:tcMar>
            <w:vAlign w:val="center"/>
          </w:tcPr>
          <w:p w14:paraId="0DDB54E5" w14:textId="77777777" w:rsidR="003A257F" w:rsidRPr="003A257F" w:rsidRDefault="003A257F" w:rsidP="001E6632">
            <w:pPr>
              <w:pStyle w:val="CDIFigure-Table-BodyTextCentre"/>
            </w:pPr>
            <w:r w:rsidRPr="003A257F">
              <w:t>—</w:t>
            </w:r>
          </w:p>
        </w:tc>
      </w:tr>
      <w:tr w:rsidR="001223AA" w:rsidRPr="003A257F" w14:paraId="6DD455A3" w14:textId="77777777" w:rsidTr="001223AA">
        <w:trPr>
          <w:divId w:val="935526654"/>
          <w:trHeight w:val="20"/>
        </w:trPr>
        <w:tc>
          <w:tcPr>
            <w:tcW w:w="1474" w:type="dxa"/>
            <w:vMerge w:val="restart"/>
            <w:shd w:val="clear" w:color="auto" w:fill="C5FFEF" w:themeFill="background2" w:themeFillTint="33"/>
            <w:tcMar>
              <w:top w:w="113" w:type="dxa"/>
              <w:left w:w="113" w:type="dxa"/>
              <w:bottom w:w="113" w:type="dxa"/>
              <w:right w:w="113" w:type="dxa"/>
            </w:tcMar>
            <w:vAlign w:val="center"/>
          </w:tcPr>
          <w:p w14:paraId="0B7BFE95" w14:textId="77777777" w:rsidR="001223AA" w:rsidRPr="003A257F" w:rsidRDefault="001223AA" w:rsidP="001223AA">
            <w:pPr>
              <w:pStyle w:val="CDIFigure-Table-BodyTextLeft"/>
            </w:pPr>
          </w:p>
        </w:tc>
        <w:tc>
          <w:tcPr>
            <w:tcW w:w="3345" w:type="dxa"/>
            <w:tcMar>
              <w:top w:w="113" w:type="dxa"/>
              <w:left w:w="113" w:type="dxa"/>
              <w:bottom w:w="113" w:type="dxa"/>
              <w:right w:w="113" w:type="dxa"/>
            </w:tcMar>
            <w:vAlign w:val="center"/>
          </w:tcPr>
          <w:p w14:paraId="2EE26090" w14:textId="1781A500" w:rsidR="001223AA" w:rsidRPr="003A257F" w:rsidRDefault="001223AA" w:rsidP="001223AA">
            <w:pPr>
              <w:pStyle w:val="CDIFigure-Table-BodyTextLeft"/>
            </w:pPr>
            <w:r w:rsidRPr="003A257F">
              <w:t>Ross River virus infection</w:t>
            </w:r>
          </w:p>
        </w:tc>
        <w:tc>
          <w:tcPr>
            <w:tcW w:w="1190" w:type="dxa"/>
            <w:tcMar>
              <w:top w:w="113" w:type="dxa"/>
              <w:left w:w="113" w:type="dxa"/>
              <w:bottom w:w="113" w:type="dxa"/>
              <w:right w:w="113" w:type="dxa"/>
            </w:tcMar>
            <w:vAlign w:val="center"/>
          </w:tcPr>
          <w:p w14:paraId="3D9F4443" w14:textId="63A3ABD1" w:rsidR="001223AA" w:rsidRPr="003A257F" w:rsidRDefault="001223AA" w:rsidP="001223AA">
            <w:pPr>
              <w:pStyle w:val="CDIFigure-Table-BodyTextCentre"/>
            </w:pPr>
            <w:r w:rsidRPr="003A257F">
              <w:t>2,965</w:t>
            </w:r>
          </w:p>
        </w:tc>
        <w:tc>
          <w:tcPr>
            <w:tcW w:w="1248" w:type="dxa"/>
            <w:tcMar>
              <w:top w:w="113" w:type="dxa"/>
              <w:left w:w="113" w:type="dxa"/>
              <w:bottom w:w="113" w:type="dxa"/>
              <w:right w:w="113" w:type="dxa"/>
            </w:tcMar>
            <w:vAlign w:val="center"/>
          </w:tcPr>
          <w:p w14:paraId="220A90EA" w14:textId="19036152" w:rsidR="001223AA" w:rsidRPr="003A257F" w:rsidRDefault="001223AA" w:rsidP="001223AA">
            <w:pPr>
              <w:pStyle w:val="CDIFigure-Table-BodyTextCentre"/>
            </w:pPr>
            <w:r w:rsidRPr="003A257F">
              <w:t>5,255</w:t>
            </w:r>
          </w:p>
        </w:tc>
        <w:tc>
          <w:tcPr>
            <w:tcW w:w="1190" w:type="dxa"/>
            <w:tcMar>
              <w:top w:w="113" w:type="dxa"/>
              <w:left w:w="113" w:type="dxa"/>
              <w:bottom w:w="113" w:type="dxa"/>
              <w:right w:w="113" w:type="dxa"/>
            </w:tcMar>
            <w:vAlign w:val="center"/>
          </w:tcPr>
          <w:p w14:paraId="0A661AEE" w14:textId="31B94BF3" w:rsidR="001223AA" w:rsidRPr="003A257F" w:rsidRDefault="001223AA" w:rsidP="001223AA">
            <w:pPr>
              <w:pStyle w:val="CDIFigure-Table-BodyTextCentre"/>
            </w:pPr>
            <w:r w:rsidRPr="003A257F">
              <w:t>6,309</w:t>
            </w:r>
          </w:p>
        </w:tc>
        <w:tc>
          <w:tcPr>
            <w:tcW w:w="1191" w:type="dxa"/>
            <w:tcMar>
              <w:top w:w="113" w:type="dxa"/>
              <w:left w:w="113" w:type="dxa"/>
              <w:bottom w:w="113" w:type="dxa"/>
              <w:right w:w="113" w:type="dxa"/>
            </w:tcMar>
            <w:vAlign w:val="center"/>
          </w:tcPr>
          <w:p w14:paraId="0A23DF9A" w14:textId="2CA375DB" w:rsidR="001223AA" w:rsidRPr="003A257F" w:rsidRDefault="001223AA" w:rsidP="001223AA">
            <w:pPr>
              <w:pStyle w:val="CDIFigure-Table-BodyTextCentre"/>
            </w:pPr>
            <w:r w:rsidRPr="003A257F">
              <w:t>3,085</w:t>
            </w:r>
          </w:p>
        </w:tc>
        <w:tc>
          <w:tcPr>
            <w:tcW w:w="1190" w:type="dxa"/>
            <w:tcMar>
              <w:top w:w="113" w:type="dxa"/>
              <w:left w:w="113" w:type="dxa"/>
              <w:bottom w:w="113" w:type="dxa"/>
              <w:right w:w="113" w:type="dxa"/>
            </w:tcMar>
            <w:vAlign w:val="center"/>
          </w:tcPr>
          <w:p w14:paraId="1D45C0D5" w14:textId="15ED1E77" w:rsidR="001223AA" w:rsidRPr="003A257F" w:rsidRDefault="001223AA" w:rsidP="001223AA">
            <w:pPr>
              <w:pStyle w:val="CDIFigure-Table-BodyTextCentre"/>
            </w:pPr>
            <w:r w:rsidRPr="003A257F">
              <w:t>113%</w:t>
            </w:r>
          </w:p>
        </w:tc>
        <w:tc>
          <w:tcPr>
            <w:tcW w:w="1191" w:type="dxa"/>
            <w:tcMar>
              <w:top w:w="113" w:type="dxa"/>
              <w:left w:w="113" w:type="dxa"/>
              <w:bottom w:w="113" w:type="dxa"/>
              <w:right w:w="113" w:type="dxa"/>
            </w:tcMar>
            <w:vAlign w:val="center"/>
          </w:tcPr>
          <w:p w14:paraId="18037376" w14:textId="44B66EC8" w:rsidR="001223AA" w:rsidRPr="003A257F" w:rsidRDefault="001223AA" w:rsidP="001223AA">
            <w:pPr>
              <w:pStyle w:val="CDIFigure-Table-BodyTextCentre"/>
            </w:pPr>
            <w:r w:rsidRPr="003A257F">
              <w:t>20%</w:t>
            </w:r>
          </w:p>
        </w:tc>
        <w:tc>
          <w:tcPr>
            <w:tcW w:w="1190" w:type="dxa"/>
            <w:tcMar>
              <w:top w:w="113" w:type="dxa"/>
              <w:left w:w="113" w:type="dxa"/>
              <w:bottom w:w="113" w:type="dxa"/>
              <w:right w:w="113" w:type="dxa"/>
            </w:tcMar>
            <w:vAlign w:val="center"/>
          </w:tcPr>
          <w:p w14:paraId="577145AA" w14:textId="25C4C74C" w:rsidR="001223AA" w:rsidRPr="003A257F" w:rsidRDefault="001223AA" w:rsidP="001223AA">
            <w:pPr>
              <w:pStyle w:val="CDIFigure-Table-BodyTextCentre"/>
            </w:pPr>
            <w:r w:rsidRPr="003A257F">
              <w:t>4%</w:t>
            </w:r>
          </w:p>
        </w:tc>
        <w:tc>
          <w:tcPr>
            <w:tcW w:w="1134" w:type="dxa"/>
            <w:tcMar>
              <w:top w:w="113" w:type="dxa"/>
              <w:left w:w="113" w:type="dxa"/>
              <w:bottom w:w="113" w:type="dxa"/>
              <w:right w:w="113" w:type="dxa"/>
            </w:tcMar>
            <w:vAlign w:val="center"/>
          </w:tcPr>
          <w:p w14:paraId="2F8A75C2" w14:textId="091E83E2" w:rsidR="001223AA" w:rsidRPr="003A257F" w:rsidRDefault="001223AA" w:rsidP="001223AA">
            <w:pPr>
              <w:pStyle w:val="CDIFigure-Table-BodyTextCentre"/>
            </w:pPr>
            <w:r w:rsidRPr="003A257F">
              <w:t>-41%</w:t>
            </w:r>
          </w:p>
        </w:tc>
      </w:tr>
      <w:tr w:rsidR="001223AA" w:rsidRPr="003A257F" w14:paraId="5573F1EF" w14:textId="77777777" w:rsidTr="003338BD">
        <w:trPr>
          <w:divId w:val="935526654"/>
          <w:trHeight w:val="20"/>
        </w:trPr>
        <w:tc>
          <w:tcPr>
            <w:tcW w:w="1474" w:type="dxa"/>
            <w:vMerge/>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BE31562" w14:textId="77777777" w:rsidR="001223AA" w:rsidRPr="003A257F" w:rsidRDefault="001223AA" w:rsidP="001223AA">
            <w:pPr>
              <w:pStyle w:val="CDIFigure-Table-BodyTextLeft"/>
            </w:pPr>
          </w:p>
        </w:tc>
        <w:tc>
          <w:tcPr>
            <w:tcW w:w="33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B80727" w14:textId="72B61D56" w:rsidR="001223AA" w:rsidRPr="003A257F" w:rsidRDefault="001223AA" w:rsidP="001223AA">
            <w:pPr>
              <w:pStyle w:val="CDIFigure-Table-BodyTextLeft"/>
            </w:pPr>
            <w:r w:rsidRPr="003A257F">
              <w:t>West Nile/Kunjin virus infection</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F71FA3" w14:textId="4F905AD6" w:rsidR="001223AA" w:rsidRPr="003A257F" w:rsidRDefault="001223AA" w:rsidP="001223AA">
            <w:pPr>
              <w:pStyle w:val="CDIFigure-Table-BodyTextCentre"/>
            </w:pPr>
            <w:r w:rsidRPr="003A257F">
              <w:t>1</w:t>
            </w:r>
          </w:p>
        </w:tc>
        <w:tc>
          <w:tcPr>
            <w:tcW w:w="124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857A18" w14:textId="6FF9A17A" w:rsidR="001223AA" w:rsidRPr="003A257F" w:rsidRDefault="001223AA" w:rsidP="001223AA">
            <w:pPr>
              <w:pStyle w:val="CDIFigure-Table-BodyTextCentre"/>
            </w:pPr>
            <w:r w:rsidRPr="003A257F">
              <w:t>1</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A9C84F" w14:textId="56B4A813" w:rsidR="001223AA" w:rsidRPr="003A257F" w:rsidRDefault="001223AA" w:rsidP="001223AA">
            <w:pPr>
              <w:pStyle w:val="CDIFigure-Table-BodyTextCentre"/>
            </w:pPr>
            <w:r w:rsidRPr="003A257F">
              <w:t>0</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762D28" w14:textId="6BA0CA53" w:rsidR="001223AA" w:rsidRPr="003A257F" w:rsidRDefault="001223AA" w:rsidP="001223AA">
            <w:pPr>
              <w:pStyle w:val="CDIFigure-Table-BodyTextCentre"/>
            </w:pPr>
            <w:r w:rsidRPr="003A257F">
              <w:t>0</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AF22B0" w14:textId="127EC1CC" w:rsidR="001223AA" w:rsidRPr="003A257F" w:rsidRDefault="001223AA" w:rsidP="001223AA">
            <w:pPr>
              <w:pStyle w:val="CDIFigure-Table-BodyTextCentre"/>
            </w:pPr>
            <w:r w:rsidRPr="003A257F">
              <w:t>-100%</w:t>
            </w:r>
          </w:p>
        </w:tc>
        <w:tc>
          <w:tcPr>
            <w:tcW w:w="119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D27488" w14:textId="23DD7B77" w:rsidR="001223AA" w:rsidRPr="003A257F" w:rsidRDefault="001223AA" w:rsidP="001223AA">
            <w:pPr>
              <w:pStyle w:val="CDIFigure-Table-BodyTextCentre"/>
            </w:pPr>
            <w:r w:rsidRPr="003A257F">
              <w:t>-100%</w:t>
            </w:r>
          </w:p>
        </w:tc>
        <w:tc>
          <w:tcPr>
            <w:tcW w:w="119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CD60E5" w14:textId="02D63B3B" w:rsidR="001223AA" w:rsidRPr="003A257F" w:rsidRDefault="001223AA" w:rsidP="001223AA">
            <w:pPr>
              <w:pStyle w:val="CDIFigure-Table-BodyTextCentre"/>
            </w:pPr>
            <w:r w:rsidRPr="003A257F">
              <w:t>-100%</w:t>
            </w:r>
          </w:p>
        </w:tc>
        <w:tc>
          <w:tcPr>
            <w:tcW w:w="113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0B02B7" w14:textId="6FAB0658" w:rsidR="001223AA" w:rsidRPr="003A257F" w:rsidRDefault="001223AA" w:rsidP="001223AA">
            <w:pPr>
              <w:pStyle w:val="CDIFigure-Table-BodyTextCentre"/>
            </w:pPr>
            <w:r w:rsidRPr="003A257F">
              <w:t>-100%</w:t>
            </w:r>
          </w:p>
        </w:tc>
      </w:tr>
      <w:tr w:rsidR="001223AA" w:rsidRPr="003A257F" w14:paraId="1F7463B7" w14:textId="77777777" w:rsidTr="001223AA">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CBD1573" w14:textId="77777777" w:rsidR="001223AA" w:rsidRPr="003A257F" w:rsidRDefault="001223AA" w:rsidP="001E6632">
            <w:pPr>
              <w:pStyle w:val="CDIFigure-Table-BodyTextLeft"/>
            </w:pPr>
            <w:r w:rsidRPr="003A257F">
              <w:t>Vaccine preventable diseases</w:t>
            </w:r>
          </w:p>
        </w:tc>
        <w:tc>
          <w:tcPr>
            <w:tcW w:w="3345" w:type="dxa"/>
            <w:tcBorders>
              <w:top w:val="single" w:sz="4" w:space="0" w:color="033636" w:themeColor="text2"/>
            </w:tcBorders>
            <w:tcMar>
              <w:top w:w="113" w:type="dxa"/>
              <w:left w:w="113" w:type="dxa"/>
              <w:bottom w:w="113" w:type="dxa"/>
              <w:right w:w="113" w:type="dxa"/>
            </w:tcMar>
            <w:vAlign w:val="center"/>
          </w:tcPr>
          <w:p w14:paraId="2CECD7E3" w14:textId="77777777" w:rsidR="001223AA" w:rsidRPr="003A257F" w:rsidRDefault="001223AA" w:rsidP="001E6632">
            <w:pPr>
              <w:pStyle w:val="CDIFigure-Table-BodyTextLeft"/>
            </w:pPr>
            <w:r w:rsidRPr="003A257F">
              <w:t>Diphtheria</w:t>
            </w:r>
          </w:p>
        </w:tc>
        <w:tc>
          <w:tcPr>
            <w:tcW w:w="1190" w:type="dxa"/>
            <w:tcBorders>
              <w:top w:val="single" w:sz="4" w:space="0" w:color="033636" w:themeColor="text2"/>
            </w:tcBorders>
            <w:tcMar>
              <w:top w:w="113" w:type="dxa"/>
              <w:left w:w="113" w:type="dxa"/>
              <w:bottom w:w="113" w:type="dxa"/>
              <w:right w:w="113" w:type="dxa"/>
            </w:tcMar>
            <w:vAlign w:val="center"/>
          </w:tcPr>
          <w:p w14:paraId="1522E3BA" w14:textId="77777777" w:rsidR="001223AA" w:rsidRPr="003A257F" w:rsidRDefault="001223AA" w:rsidP="001E6632">
            <w:pPr>
              <w:pStyle w:val="CDIFigure-Table-BodyTextCentre"/>
            </w:pPr>
            <w:r w:rsidRPr="003A257F">
              <w:t>7</w:t>
            </w:r>
          </w:p>
        </w:tc>
        <w:tc>
          <w:tcPr>
            <w:tcW w:w="1248" w:type="dxa"/>
            <w:tcBorders>
              <w:top w:val="single" w:sz="4" w:space="0" w:color="033636" w:themeColor="text2"/>
            </w:tcBorders>
            <w:tcMar>
              <w:top w:w="113" w:type="dxa"/>
              <w:left w:w="113" w:type="dxa"/>
              <w:bottom w:w="113" w:type="dxa"/>
              <w:right w:w="113" w:type="dxa"/>
            </w:tcMar>
            <w:vAlign w:val="center"/>
          </w:tcPr>
          <w:p w14:paraId="76871C40" w14:textId="77777777" w:rsidR="001223AA" w:rsidRPr="003A257F" w:rsidRDefault="001223AA" w:rsidP="001E6632">
            <w:pPr>
              <w:pStyle w:val="CDIFigure-Table-BodyTextCentre"/>
            </w:pPr>
            <w:r w:rsidRPr="003A257F">
              <w:t>7</w:t>
            </w:r>
          </w:p>
        </w:tc>
        <w:tc>
          <w:tcPr>
            <w:tcW w:w="1190" w:type="dxa"/>
            <w:tcBorders>
              <w:top w:val="single" w:sz="4" w:space="0" w:color="033636" w:themeColor="text2"/>
            </w:tcBorders>
            <w:tcMar>
              <w:top w:w="113" w:type="dxa"/>
              <w:left w:w="113" w:type="dxa"/>
              <w:bottom w:w="113" w:type="dxa"/>
              <w:right w:w="113" w:type="dxa"/>
            </w:tcMar>
            <w:vAlign w:val="center"/>
          </w:tcPr>
          <w:p w14:paraId="3853C09B" w14:textId="77777777" w:rsidR="001223AA" w:rsidRPr="003A257F" w:rsidRDefault="001223AA" w:rsidP="001E6632">
            <w:pPr>
              <w:pStyle w:val="CDIFigure-Table-BodyTextCentre"/>
            </w:pPr>
            <w:r w:rsidRPr="003A257F">
              <w:t>9</w:t>
            </w:r>
          </w:p>
        </w:tc>
        <w:tc>
          <w:tcPr>
            <w:tcW w:w="1191" w:type="dxa"/>
            <w:tcBorders>
              <w:top w:val="single" w:sz="4" w:space="0" w:color="033636" w:themeColor="text2"/>
            </w:tcBorders>
            <w:tcMar>
              <w:top w:w="113" w:type="dxa"/>
              <w:left w:w="113" w:type="dxa"/>
              <w:bottom w:w="113" w:type="dxa"/>
              <w:right w:w="113" w:type="dxa"/>
            </w:tcMar>
            <w:vAlign w:val="center"/>
          </w:tcPr>
          <w:p w14:paraId="0010CFCE" w14:textId="77777777" w:rsidR="001223AA" w:rsidRPr="003A257F" w:rsidRDefault="001223AA" w:rsidP="001E6632">
            <w:pPr>
              <w:pStyle w:val="CDIFigure-Table-BodyTextCentre"/>
            </w:pPr>
            <w:r w:rsidRPr="003A257F">
              <w:t>6</w:t>
            </w:r>
          </w:p>
        </w:tc>
        <w:tc>
          <w:tcPr>
            <w:tcW w:w="1190" w:type="dxa"/>
            <w:tcBorders>
              <w:top w:val="single" w:sz="4" w:space="0" w:color="033636" w:themeColor="text2"/>
            </w:tcBorders>
            <w:tcMar>
              <w:top w:w="113" w:type="dxa"/>
              <w:left w:w="113" w:type="dxa"/>
              <w:bottom w:w="113" w:type="dxa"/>
              <w:right w:w="113" w:type="dxa"/>
            </w:tcMar>
            <w:vAlign w:val="center"/>
          </w:tcPr>
          <w:p w14:paraId="2000CEFB" w14:textId="77777777" w:rsidR="001223AA" w:rsidRPr="003A257F" w:rsidRDefault="001223AA" w:rsidP="001E6632">
            <w:pPr>
              <w:pStyle w:val="CDIFigure-Table-BodyTextCentre"/>
            </w:pPr>
            <w:r w:rsidRPr="003A257F">
              <w:t>29%</w:t>
            </w:r>
          </w:p>
        </w:tc>
        <w:tc>
          <w:tcPr>
            <w:tcW w:w="1191" w:type="dxa"/>
            <w:tcBorders>
              <w:top w:val="single" w:sz="4" w:space="0" w:color="033636" w:themeColor="text2"/>
            </w:tcBorders>
            <w:tcMar>
              <w:top w:w="113" w:type="dxa"/>
              <w:left w:w="113" w:type="dxa"/>
              <w:bottom w:w="113" w:type="dxa"/>
              <w:right w:w="113" w:type="dxa"/>
            </w:tcMar>
            <w:vAlign w:val="center"/>
          </w:tcPr>
          <w:p w14:paraId="5A112F0D" w14:textId="77777777" w:rsidR="001223AA" w:rsidRPr="003A257F" w:rsidRDefault="001223AA" w:rsidP="001E6632">
            <w:pPr>
              <w:pStyle w:val="CDIFigure-Table-BodyTextCentre"/>
            </w:pPr>
            <w:r w:rsidRPr="003A257F">
              <w:t>25%</w:t>
            </w:r>
          </w:p>
        </w:tc>
        <w:tc>
          <w:tcPr>
            <w:tcW w:w="1190" w:type="dxa"/>
            <w:tcBorders>
              <w:top w:val="single" w:sz="4" w:space="0" w:color="033636" w:themeColor="text2"/>
            </w:tcBorders>
            <w:tcMar>
              <w:top w:w="113" w:type="dxa"/>
              <w:left w:w="113" w:type="dxa"/>
              <w:bottom w:w="113" w:type="dxa"/>
              <w:right w:w="113" w:type="dxa"/>
            </w:tcMar>
            <w:vAlign w:val="center"/>
          </w:tcPr>
          <w:p w14:paraId="6046F238" w14:textId="77777777" w:rsidR="001223AA" w:rsidRPr="003A257F" w:rsidRDefault="001223AA" w:rsidP="001E6632">
            <w:pPr>
              <w:pStyle w:val="CDIFigure-Table-BodyTextCentre"/>
            </w:pPr>
            <w:r w:rsidRPr="003A257F">
              <w:t>-14%</w:t>
            </w:r>
          </w:p>
        </w:tc>
        <w:tc>
          <w:tcPr>
            <w:tcW w:w="1134" w:type="dxa"/>
            <w:tcBorders>
              <w:top w:val="single" w:sz="4" w:space="0" w:color="033636" w:themeColor="text2"/>
            </w:tcBorders>
            <w:tcMar>
              <w:top w:w="113" w:type="dxa"/>
              <w:left w:w="113" w:type="dxa"/>
              <w:bottom w:w="113" w:type="dxa"/>
              <w:right w:w="113" w:type="dxa"/>
            </w:tcMar>
            <w:vAlign w:val="center"/>
          </w:tcPr>
          <w:p w14:paraId="1CC728C9" w14:textId="77777777" w:rsidR="001223AA" w:rsidRPr="003A257F" w:rsidRDefault="001223AA" w:rsidP="001E6632">
            <w:pPr>
              <w:pStyle w:val="CDIFigure-Table-BodyTextCentre"/>
            </w:pPr>
            <w:r w:rsidRPr="003A257F">
              <w:t>-17%</w:t>
            </w:r>
          </w:p>
        </w:tc>
      </w:tr>
      <w:tr w:rsidR="001223AA" w:rsidRPr="003A257F" w14:paraId="108C45A7"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4F221BE7"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6A953E23" w14:textId="77777777" w:rsidR="001223AA" w:rsidRPr="003A257F" w:rsidRDefault="001223AA" w:rsidP="001E6632">
            <w:pPr>
              <w:pStyle w:val="CDIFigure-Table-BodyTextLeft"/>
            </w:pPr>
            <w:r w:rsidRPr="001223AA">
              <w:rPr>
                <w:i/>
                <w:iCs/>
              </w:rPr>
              <w:t>Haemophilus influenzae</w:t>
            </w:r>
            <w:r w:rsidRPr="003A257F">
              <w:t xml:space="preserve"> type b</w:t>
            </w:r>
          </w:p>
        </w:tc>
        <w:tc>
          <w:tcPr>
            <w:tcW w:w="1190" w:type="dxa"/>
            <w:shd w:val="clear" w:color="auto" w:fill="F2F2F2" w:themeFill="background1" w:themeFillShade="F2"/>
            <w:tcMar>
              <w:top w:w="113" w:type="dxa"/>
              <w:left w:w="113" w:type="dxa"/>
              <w:bottom w:w="113" w:type="dxa"/>
              <w:right w:w="113" w:type="dxa"/>
            </w:tcMar>
            <w:vAlign w:val="center"/>
          </w:tcPr>
          <w:p w14:paraId="7A7DC105" w14:textId="77777777" w:rsidR="001223AA" w:rsidRPr="003A257F" w:rsidRDefault="001223AA" w:rsidP="001E6632">
            <w:pPr>
              <w:pStyle w:val="CDIFigure-Table-BodyTextCentre"/>
            </w:pPr>
            <w:r w:rsidRPr="003A257F">
              <w:t>22</w:t>
            </w:r>
          </w:p>
        </w:tc>
        <w:tc>
          <w:tcPr>
            <w:tcW w:w="1248" w:type="dxa"/>
            <w:shd w:val="clear" w:color="auto" w:fill="F2F2F2" w:themeFill="background1" w:themeFillShade="F2"/>
            <w:tcMar>
              <w:top w:w="113" w:type="dxa"/>
              <w:left w:w="113" w:type="dxa"/>
              <w:bottom w:w="113" w:type="dxa"/>
              <w:right w:w="113" w:type="dxa"/>
            </w:tcMar>
            <w:vAlign w:val="center"/>
          </w:tcPr>
          <w:p w14:paraId="4562C3C5" w14:textId="77777777" w:rsidR="001223AA" w:rsidRPr="003A257F" w:rsidRDefault="001223AA" w:rsidP="001E6632">
            <w:pPr>
              <w:pStyle w:val="CDIFigure-Table-BodyTextCentre"/>
            </w:pPr>
            <w:r w:rsidRPr="003A257F">
              <w:t>18</w:t>
            </w:r>
          </w:p>
        </w:tc>
        <w:tc>
          <w:tcPr>
            <w:tcW w:w="1190" w:type="dxa"/>
            <w:shd w:val="clear" w:color="auto" w:fill="F2F2F2" w:themeFill="background1" w:themeFillShade="F2"/>
            <w:tcMar>
              <w:top w:w="113" w:type="dxa"/>
              <w:left w:w="113" w:type="dxa"/>
              <w:bottom w:w="113" w:type="dxa"/>
              <w:right w:w="113" w:type="dxa"/>
            </w:tcMar>
            <w:vAlign w:val="center"/>
          </w:tcPr>
          <w:p w14:paraId="78FD2638" w14:textId="77777777" w:rsidR="001223AA" w:rsidRPr="003A257F" w:rsidRDefault="001223AA" w:rsidP="001E6632">
            <w:pPr>
              <w:pStyle w:val="CDIFigure-Table-BodyTextCentre"/>
            </w:pPr>
            <w:r w:rsidRPr="003A257F">
              <w:t>19</w:t>
            </w:r>
          </w:p>
        </w:tc>
        <w:tc>
          <w:tcPr>
            <w:tcW w:w="1191" w:type="dxa"/>
            <w:shd w:val="clear" w:color="auto" w:fill="F2F2F2" w:themeFill="background1" w:themeFillShade="F2"/>
            <w:tcMar>
              <w:top w:w="113" w:type="dxa"/>
              <w:left w:w="113" w:type="dxa"/>
              <w:bottom w:w="113" w:type="dxa"/>
              <w:right w:w="113" w:type="dxa"/>
            </w:tcMar>
            <w:vAlign w:val="center"/>
          </w:tcPr>
          <w:p w14:paraId="22B02164" w14:textId="77777777" w:rsidR="001223AA" w:rsidRPr="003A257F" w:rsidRDefault="001223AA" w:rsidP="001E6632">
            <w:pPr>
              <w:pStyle w:val="CDIFigure-Table-BodyTextCentre"/>
            </w:pPr>
            <w:r w:rsidRPr="003A257F">
              <w:t>18</w:t>
            </w:r>
          </w:p>
        </w:tc>
        <w:tc>
          <w:tcPr>
            <w:tcW w:w="1190" w:type="dxa"/>
            <w:shd w:val="clear" w:color="auto" w:fill="F2F2F2" w:themeFill="background1" w:themeFillShade="F2"/>
            <w:tcMar>
              <w:top w:w="113" w:type="dxa"/>
              <w:left w:w="113" w:type="dxa"/>
              <w:bottom w:w="113" w:type="dxa"/>
              <w:right w:w="113" w:type="dxa"/>
            </w:tcMar>
            <w:vAlign w:val="center"/>
          </w:tcPr>
          <w:p w14:paraId="59FDB44C" w14:textId="77777777" w:rsidR="001223AA" w:rsidRPr="003A257F" w:rsidRDefault="001223AA" w:rsidP="001E6632">
            <w:pPr>
              <w:pStyle w:val="CDIFigure-Table-BodyTextCentre"/>
            </w:pPr>
            <w:r w:rsidRPr="003A257F">
              <w:t>-14%</w:t>
            </w:r>
          </w:p>
        </w:tc>
        <w:tc>
          <w:tcPr>
            <w:tcW w:w="1191" w:type="dxa"/>
            <w:shd w:val="clear" w:color="auto" w:fill="F2F2F2" w:themeFill="background1" w:themeFillShade="F2"/>
            <w:tcMar>
              <w:top w:w="113" w:type="dxa"/>
              <w:left w:w="113" w:type="dxa"/>
              <w:bottom w:w="113" w:type="dxa"/>
              <w:right w:w="113" w:type="dxa"/>
            </w:tcMar>
            <w:vAlign w:val="center"/>
          </w:tcPr>
          <w:p w14:paraId="74FA9F93" w14:textId="77777777" w:rsidR="001223AA" w:rsidRPr="003A257F" w:rsidRDefault="001223AA" w:rsidP="001E6632">
            <w:pPr>
              <w:pStyle w:val="CDIFigure-Table-BodyTextCentre"/>
            </w:pPr>
            <w:r w:rsidRPr="003A257F">
              <w:t>7%</w:t>
            </w:r>
          </w:p>
        </w:tc>
        <w:tc>
          <w:tcPr>
            <w:tcW w:w="1190" w:type="dxa"/>
            <w:shd w:val="clear" w:color="auto" w:fill="F2F2F2" w:themeFill="background1" w:themeFillShade="F2"/>
            <w:tcMar>
              <w:top w:w="113" w:type="dxa"/>
              <w:left w:w="113" w:type="dxa"/>
              <w:bottom w:w="113" w:type="dxa"/>
              <w:right w:w="113" w:type="dxa"/>
            </w:tcMar>
            <w:vAlign w:val="center"/>
          </w:tcPr>
          <w:p w14:paraId="4DC8ADAF" w14:textId="77777777" w:rsidR="001223AA" w:rsidRPr="003A257F" w:rsidRDefault="001223AA" w:rsidP="001E6632">
            <w:pPr>
              <w:pStyle w:val="CDIFigure-Table-BodyTextCentre"/>
            </w:pPr>
            <w:r w:rsidRPr="003A257F">
              <w:t>-18%</w:t>
            </w:r>
          </w:p>
        </w:tc>
        <w:tc>
          <w:tcPr>
            <w:tcW w:w="1134" w:type="dxa"/>
            <w:shd w:val="clear" w:color="auto" w:fill="F2F2F2" w:themeFill="background1" w:themeFillShade="F2"/>
            <w:tcMar>
              <w:top w:w="113" w:type="dxa"/>
              <w:left w:w="113" w:type="dxa"/>
              <w:bottom w:w="113" w:type="dxa"/>
              <w:right w:w="113" w:type="dxa"/>
            </w:tcMar>
            <w:vAlign w:val="center"/>
          </w:tcPr>
          <w:p w14:paraId="26BBDFFA" w14:textId="77777777" w:rsidR="001223AA" w:rsidRPr="003A257F" w:rsidRDefault="001223AA" w:rsidP="001E6632">
            <w:pPr>
              <w:pStyle w:val="CDIFigure-Table-BodyTextCentre"/>
            </w:pPr>
            <w:r w:rsidRPr="003A257F">
              <w:t>1%</w:t>
            </w:r>
          </w:p>
        </w:tc>
      </w:tr>
      <w:tr w:rsidR="001223AA" w:rsidRPr="003A257F" w14:paraId="65208B0A"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7058C43F" w14:textId="77777777" w:rsidR="001223AA" w:rsidRPr="003A257F" w:rsidRDefault="001223AA" w:rsidP="003A257F"/>
        </w:tc>
        <w:tc>
          <w:tcPr>
            <w:tcW w:w="3345" w:type="dxa"/>
            <w:tcMar>
              <w:top w:w="113" w:type="dxa"/>
              <w:left w:w="113" w:type="dxa"/>
              <w:bottom w:w="113" w:type="dxa"/>
              <w:right w:w="113" w:type="dxa"/>
            </w:tcMar>
            <w:vAlign w:val="center"/>
          </w:tcPr>
          <w:p w14:paraId="186DA804" w14:textId="77777777" w:rsidR="001223AA" w:rsidRPr="003A257F" w:rsidRDefault="001223AA" w:rsidP="001E6632">
            <w:pPr>
              <w:pStyle w:val="CDIFigure-Table-BodyTextLeft"/>
            </w:pPr>
            <w:r w:rsidRPr="003A257F">
              <w:t>Influenza (laboratory confirmed)</w:t>
            </w:r>
          </w:p>
        </w:tc>
        <w:tc>
          <w:tcPr>
            <w:tcW w:w="1190" w:type="dxa"/>
            <w:tcMar>
              <w:top w:w="113" w:type="dxa"/>
              <w:left w:w="113" w:type="dxa"/>
              <w:bottom w:w="113" w:type="dxa"/>
              <w:right w:w="113" w:type="dxa"/>
            </w:tcMar>
            <w:vAlign w:val="center"/>
          </w:tcPr>
          <w:p w14:paraId="41D35022" w14:textId="77777777" w:rsidR="001223AA" w:rsidRPr="003A257F" w:rsidRDefault="001223AA" w:rsidP="001E6632">
            <w:pPr>
              <w:pStyle w:val="CDIFigure-Table-BodyTextCentre"/>
            </w:pPr>
            <w:r w:rsidRPr="003A257F">
              <w:t>313,447</w:t>
            </w:r>
          </w:p>
        </w:tc>
        <w:tc>
          <w:tcPr>
            <w:tcW w:w="1248" w:type="dxa"/>
            <w:tcMar>
              <w:top w:w="113" w:type="dxa"/>
              <w:left w:w="113" w:type="dxa"/>
              <w:bottom w:w="113" w:type="dxa"/>
              <w:right w:w="113" w:type="dxa"/>
            </w:tcMar>
            <w:vAlign w:val="center"/>
          </w:tcPr>
          <w:p w14:paraId="62B60868" w14:textId="77777777" w:rsidR="001223AA" w:rsidRPr="003A257F" w:rsidRDefault="001223AA" w:rsidP="001E6632">
            <w:pPr>
              <w:pStyle w:val="CDIFigure-Table-BodyTextCentre"/>
            </w:pPr>
            <w:r w:rsidRPr="003A257F">
              <w:t>163,007</w:t>
            </w:r>
          </w:p>
        </w:tc>
        <w:tc>
          <w:tcPr>
            <w:tcW w:w="1190" w:type="dxa"/>
            <w:tcMar>
              <w:top w:w="113" w:type="dxa"/>
              <w:left w:w="113" w:type="dxa"/>
              <w:bottom w:w="113" w:type="dxa"/>
              <w:right w:w="113" w:type="dxa"/>
            </w:tcMar>
            <w:vAlign w:val="center"/>
          </w:tcPr>
          <w:p w14:paraId="7C6D78BC" w14:textId="77777777" w:rsidR="001223AA" w:rsidRPr="003A257F" w:rsidRDefault="001223AA" w:rsidP="001E6632">
            <w:pPr>
              <w:pStyle w:val="CDIFigure-Table-BodyTextCentre"/>
            </w:pPr>
            <w:r w:rsidRPr="003A257F">
              <w:t>21,362</w:t>
            </w:r>
          </w:p>
        </w:tc>
        <w:tc>
          <w:tcPr>
            <w:tcW w:w="1191" w:type="dxa"/>
            <w:tcMar>
              <w:top w:w="113" w:type="dxa"/>
              <w:left w:w="113" w:type="dxa"/>
              <w:bottom w:w="113" w:type="dxa"/>
              <w:right w:w="113" w:type="dxa"/>
            </w:tcMar>
            <w:vAlign w:val="center"/>
          </w:tcPr>
          <w:p w14:paraId="0EBDC746" w14:textId="77777777" w:rsidR="001223AA" w:rsidRPr="003A257F" w:rsidRDefault="001223AA" w:rsidP="001E6632">
            <w:pPr>
              <w:pStyle w:val="CDIFigure-Table-BodyTextCentre"/>
            </w:pPr>
            <w:r w:rsidRPr="003A257F">
              <w:t>754</w:t>
            </w:r>
          </w:p>
        </w:tc>
        <w:tc>
          <w:tcPr>
            <w:tcW w:w="1190" w:type="dxa"/>
            <w:tcMar>
              <w:top w:w="113" w:type="dxa"/>
              <w:left w:w="113" w:type="dxa"/>
              <w:bottom w:w="113" w:type="dxa"/>
              <w:right w:w="113" w:type="dxa"/>
            </w:tcMar>
            <w:vAlign w:val="center"/>
          </w:tcPr>
          <w:p w14:paraId="21928F64" w14:textId="77777777" w:rsidR="001223AA" w:rsidRPr="003A257F" w:rsidRDefault="001223AA" w:rsidP="001E6632">
            <w:pPr>
              <w:pStyle w:val="CDIFigure-Table-BodyTextCentre"/>
            </w:pPr>
            <w:r w:rsidRPr="003A257F">
              <w:t>-93%</w:t>
            </w:r>
          </w:p>
        </w:tc>
        <w:tc>
          <w:tcPr>
            <w:tcW w:w="1191" w:type="dxa"/>
            <w:tcMar>
              <w:top w:w="113" w:type="dxa"/>
              <w:left w:w="113" w:type="dxa"/>
              <w:bottom w:w="113" w:type="dxa"/>
              <w:right w:w="113" w:type="dxa"/>
            </w:tcMar>
            <w:vAlign w:val="center"/>
          </w:tcPr>
          <w:p w14:paraId="0E93A355" w14:textId="77777777" w:rsidR="001223AA" w:rsidRPr="003A257F" w:rsidRDefault="001223AA" w:rsidP="001E6632">
            <w:pPr>
              <w:pStyle w:val="CDIFigure-Table-BodyTextCentre"/>
            </w:pPr>
            <w:r w:rsidRPr="003A257F">
              <w:t>-87%</w:t>
            </w:r>
          </w:p>
        </w:tc>
        <w:tc>
          <w:tcPr>
            <w:tcW w:w="1190" w:type="dxa"/>
            <w:tcMar>
              <w:top w:w="113" w:type="dxa"/>
              <w:left w:w="113" w:type="dxa"/>
              <w:bottom w:w="113" w:type="dxa"/>
              <w:right w:w="113" w:type="dxa"/>
            </w:tcMar>
            <w:vAlign w:val="center"/>
          </w:tcPr>
          <w:p w14:paraId="50EDA99A" w14:textId="77777777" w:rsidR="001223AA" w:rsidRPr="003A257F" w:rsidRDefault="001223AA" w:rsidP="001E6632">
            <w:pPr>
              <w:pStyle w:val="CDIFigure-Table-BodyTextCentre"/>
            </w:pPr>
            <w:r w:rsidRPr="003A257F">
              <w:t>-99.9%</w:t>
            </w:r>
          </w:p>
        </w:tc>
        <w:tc>
          <w:tcPr>
            <w:tcW w:w="1134" w:type="dxa"/>
            <w:tcMar>
              <w:top w:w="113" w:type="dxa"/>
              <w:left w:w="113" w:type="dxa"/>
              <w:bottom w:w="113" w:type="dxa"/>
              <w:right w:w="113" w:type="dxa"/>
            </w:tcMar>
            <w:vAlign w:val="center"/>
          </w:tcPr>
          <w:p w14:paraId="48905BDA" w14:textId="77777777" w:rsidR="001223AA" w:rsidRPr="003A257F" w:rsidRDefault="001223AA" w:rsidP="001E6632">
            <w:pPr>
              <w:pStyle w:val="CDIFigure-Table-BodyTextCentre"/>
            </w:pPr>
            <w:r w:rsidRPr="003A257F">
              <w:t>-99.9%</w:t>
            </w:r>
          </w:p>
        </w:tc>
      </w:tr>
      <w:tr w:rsidR="001223AA" w:rsidRPr="003A257F" w14:paraId="69989F9E"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2C82FE76"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3868CA10" w14:textId="77777777" w:rsidR="001223AA" w:rsidRPr="003A257F" w:rsidRDefault="001223AA" w:rsidP="001E6632">
            <w:pPr>
              <w:pStyle w:val="CDIFigure-Table-BodyTextLeft"/>
            </w:pPr>
            <w:r w:rsidRPr="003A257F">
              <w:t>Measles</w:t>
            </w:r>
          </w:p>
        </w:tc>
        <w:tc>
          <w:tcPr>
            <w:tcW w:w="1190" w:type="dxa"/>
            <w:shd w:val="clear" w:color="auto" w:fill="F2F2F2" w:themeFill="background1" w:themeFillShade="F2"/>
            <w:tcMar>
              <w:top w:w="113" w:type="dxa"/>
              <w:left w:w="113" w:type="dxa"/>
              <w:bottom w:w="113" w:type="dxa"/>
              <w:right w:w="113" w:type="dxa"/>
            </w:tcMar>
            <w:vAlign w:val="center"/>
          </w:tcPr>
          <w:p w14:paraId="271C8F72" w14:textId="77777777" w:rsidR="001223AA" w:rsidRPr="003A257F" w:rsidRDefault="001223AA" w:rsidP="001E6632">
            <w:pPr>
              <w:pStyle w:val="CDIFigure-Table-BodyTextCentre"/>
            </w:pPr>
            <w:r w:rsidRPr="003A257F">
              <w:t>284</w:t>
            </w:r>
          </w:p>
        </w:tc>
        <w:tc>
          <w:tcPr>
            <w:tcW w:w="1248" w:type="dxa"/>
            <w:shd w:val="clear" w:color="auto" w:fill="F2F2F2" w:themeFill="background1" w:themeFillShade="F2"/>
            <w:tcMar>
              <w:top w:w="113" w:type="dxa"/>
              <w:left w:w="113" w:type="dxa"/>
              <w:bottom w:w="113" w:type="dxa"/>
              <w:right w:w="113" w:type="dxa"/>
            </w:tcMar>
            <w:vAlign w:val="center"/>
          </w:tcPr>
          <w:p w14:paraId="0DB7D4C5" w14:textId="77777777" w:rsidR="001223AA" w:rsidRPr="003A257F" w:rsidRDefault="001223AA" w:rsidP="001E6632">
            <w:pPr>
              <w:pStyle w:val="CDIFigure-Table-BodyTextCentre"/>
            </w:pPr>
            <w:r w:rsidRPr="003A257F">
              <w:t>128</w:t>
            </w:r>
          </w:p>
        </w:tc>
        <w:tc>
          <w:tcPr>
            <w:tcW w:w="1190" w:type="dxa"/>
            <w:shd w:val="clear" w:color="auto" w:fill="F2F2F2" w:themeFill="background1" w:themeFillShade="F2"/>
            <w:tcMar>
              <w:top w:w="113" w:type="dxa"/>
              <w:left w:w="113" w:type="dxa"/>
              <w:bottom w:w="113" w:type="dxa"/>
              <w:right w:w="113" w:type="dxa"/>
            </w:tcMar>
            <w:vAlign w:val="center"/>
          </w:tcPr>
          <w:p w14:paraId="606A4090" w14:textId="77777777" w:rsidR="001223AA" w:rsidRPr="003A257F" w:rsidRDefault="001223AA" w:rsidP="001E6632">
            <w:pPr>
              <w:pStyle w:val="CDIFigure-Table-BodyTextCentre"/>
            </w:pPr>
            <w:r w:rsidRPr="003A257F">
              <w:t>25</w:t>
            </w:r>
          </w:p>
        </w:tc>
        <w:tc>
          <w:tcPr>
            <w:tcW w:w="1191" w:type="dxa"/>
            <w:shd w:val="clear" w:color="auto" w:fill="F2F2F2" w:themeFill="background1" w:themeFillShade="F2"/>
            <w:tcMar>
              <w:top w:w="113" w:type="dxa"/>
              <w:left w:w="113" w:type="dxa"/>
              <w:bottom w:w="113" w:type="dxa"/>
              <w:right w:w="113" w:type="dxa"/>
            </w:tcMar>
            <w:vAlign w:val="center"/>
          </w:tcPr>
          <w:p w14:paraId="673BBA96" w14:textId="77777777" w:rsidR="001223AA" w:rsidRPr="003A257F" w:rsidRDefault="001223AA" w:rsidP="001E6632">
            <w:pPr>
              <w:pStyle w:val="CDIFigure-Table-BodyTextCentre"/>
            </w:pPr>
            <w:r w:rsidRPr="003A257F">
              <w:t>0</w:t>
            </w:r>
          </w:p>
        </w:tc>
        <w:tc>
          <w:tcPr>
            <w:tcW w:w="1190" w:type="dxa"/>
            <w:shd w:val="clear" w:color="auto" w:fill="F2F2F2" w:themeFill="background1" w:themeFillShade="F2"/>
            <w:tcMar>
              <w:top w:w="113" w:type="dxa"/>
              <w:left w:w="113" w:type="dxa"/>
              <w:bottom w:w="113" w:type="dxa"/>
              <w:right w:w="113" w:type="dxa"/>
            </w:tcMar>
            <w:vAlign w:val="center"/>
          </w:tcPr>
          <w:p w14:paraId="79720A5E" w14:textId="77777777" w:rsidR="001223AA" w:rsidRPr="003A257F" w:rsidRDefault="001223AA" w:rsidP="001E6632">
            <w:pPr>
              <w:pStyle w:val="CDIFigure-Table-BodyTextCentre"/>
            </w:pPr>
            <w:r w:rsidRPr="003A257F">
              <w:t>-91%</w:t>
            </w:r>
          </w:p>
        </w:tc>
        <w:tc>
          <w:tcPr>
            <w:tcW w:w="1191" w:type="dxa"/>
            <w:shd w:val="clear" w:color="auto" w:fill="F2F2F2" w:themeFill="background1" w:themeFillShade="F2"/>
            <w:tcMar>
              <w:top w:w="113" w:type="dxa"/>
              <w:left w:w="113" w:type="dxa"/>
              <w:bottom w:w="113" w:type="dxa"/>
              <w:right w:w="113" w:type="dxa"/>
            </w:tcMar>
            <w:vAlign w:val="center"/>
          </w:tcPr>
          <w:p w14:paraId="2704BE59" w14:textId="77777777" w:rsidR="001223AA" w:rsidRPr="003A257F" w:rsidRDefault="001223AA" w:rsidP="001E6632">
            <w:pPr>
              <w:pStyle w:val="CDIFigure-Table-BodyTextCentre"/>
            </w:pPr>
            <w:r w:rsidRPr="003A257F">
              <w:t>-80%</w:t>
            </w:r>
          </w:p>
        </w:tc>
        <w:tc>
          <w:tcPr>
            <w:tcW w:w="1190" w:type="dxa"/>
            <w:shd w:val="clear" w:color="auto" w:fill="F2F2F2" w:themeFill="background1" w:themeFillShade="F2"/>
            <w:tcMar>
              <w:top w:w="113" w:type="dxa"/>
              <w:left w:w="113" w:type="dxa"/>
              <w:bottom w:w="113" w:type="dxa"/>
              <w:right w:w="113" w:type="dxa"/>
            </w:tcMar>
            <w:vAlign w:val="center"/>
          </w:tcPr>
          <w:p w14:paraId="7C071C18" w14:textId="77777777" w:rsidR="001223AA" w:rsidRPr="003A257F" w:rsidRDefault="001223AA" w:rsidP="001E6632">
            <w:pPr>
              <w:pStyle w:val="CDIFigure-Table-BodyTextCentre"/>
            </w:pPr>
            <w:r w:rsidRPr="003A257F">
              <w:t>-100%</w:t>
            </w:r>
          </w:p>
        </w:tc>
        <w:tc>
          <w:tcPr>
            <w:tcW w:w="1134" w:type="dxa"/>
            <w:shd w:val="clear" w:color="auto" w:fill="F2F2F2" w:themeFill="background1" w:themeFillShade="F2"/>
            <w:tcMar>
              <w:top w:w="113" w:type="dxa"/>
              <w:left w:w="113" w:type="dxa"/>
              <w:bottom w:w="113" w:type="dxa"/>
              <w:right w:w="113" w:type="dxa"/>
            </w:tcMar>
            <w:vAlign w:val="center"/>
          </w:tcPr>
          <w:p w14:paraId="37CDB4AA" w14:textId="77777777" w:rsidR="001223AA" w:rsidRPr="003A257F" w:rsidRDefault="001223AA" w:rsidP="001E6632">
            <w:pPr>
              <w:pStyle w:val="CDIFigure-Table-BodyTextCentre"/>
            </w:pPr>
            <w:r w:rsidRPr="003A257F">
              <w:t>-100%</w:t>
            </w:r>
          </w:p>
        </w:tc>
      </w:tr>
      <w:tr w:rsidR="001223AA" w:rsidRPr="003A257F" w14:paraId="162081F1"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1F3063A4" w14:textId="77777777" w:rsidR="001223AA" w:rsidRPr="003A257F" w:rsidRDefault="001223AA" w:rsidP="003A257F"/>
        </w:tc>
        <w:tc>
          <w:tcPr>
            <w:tcW w:w="3345" w:type="dxa"/>
            <w:tcMar>
              <w:top w:w="113" w:type="dxa"/>
              <w:left w:w="113" w:type="dxa"/>
              <w:bottom w:w="113" w:type="dxa"/>
              <w:right w:w="113" w:type="dxa"/>
            </w:tcMar>
            <w:vAlign w:val="center"/>
          </w:tcPr>
          <w:p w14:paraId="1E6B4BFE" w14:textId="77777777" w:rsidR="001223AA" w:rsidRPr="003A257F" w:rsidRDefault="001223AA" w:rsidP="001E6632">
            <w:pPr>
              <w:pStyle w:val="CDIFigure-Table-BodyTextLeft"/>
            </w:pPr>
            <w:r w:rsidRPr="003A257F">
              <w:t>Mumps</w:t>
            </w:r>
          </w:p>
        </w:tc>
        <w:tc>
          <w:tcPr>
            <w:tcW w:w="1190" w:type="dxa"/>
            <w:tcMar>
              <w:top w:w="113" w:type="dxa"/>
              <w:left w:w="113" w:type="dxa"/>
              <w:bottom w:w="113" w:type="dxa"/>
              <w:right w:w="113" w:type="dxa"/>
            </w:tcMar>
            <w:vAlign w:val="center"/>
          </w:tcPr>
          <w:p w14:paraId="154F18B5" w14:textId="77777777" w:rsidR="001223AA" w:rsidRPr="003A257F" w:rsidRDefault="001223AA" w:rsidP="001E6632">
            <w:pPr>
              <w:pStyle w:val="CDIFigure-Table-BodyTextCentre"/>
            </w:pPr>
            <w:r w:rsidRPr="003A257F">
              <w:t>172</w:t>
            </w:r>
          </w:p>
        </w:tc>
        <w:tc>
          <w:tcPr>
            <w:tcW w:w="1248" w:type="dxa"/>
            <w:tcMar>
              <w:top w:w="113" w:type="dxa"/>
              <w:left w:w="113" w:type="dxa"/>
              <w:bottom w:w="113" w:type="dxa"/>
              <w:right w:w="113" w:type="dxa"/>
            </w:tcMar>
            <w:vAlign w:val="center"/>
          </w:tcPr>
          <w:p w14:paraId="16738B88" w14:textId="77777777" w:rsidR="001223AA" w:rsidRPr="003A257F" w:rsidRDefault="001223AA" w:rsidP="001E6632">
            <w:pPr>
              <w:pStyle w:val="CDIFigure-Table-BodyTextCentre"/>
            </w:pPr>
            <w:r w:rsidRPr="003A257F">
              <w:t>613</w:t>
            </w:r>
          </w:p>
        </w:tc>
        <w:tc>
          <w:tcPr>
            <w:tcW w:w="1190" w:type="dxa"/>
            <w:tcMar>
              <w:top w:w="113" w:type="dxa"/>
              <w:left w:w="113" w:type="dxa"/>
              <w:bottom w:w="113" w:type="dxa"/>
              <w:right w:w="113" w:type="dxa"/>
            </w:tcMar>
            <w:vAlign w:val="center"/>
          </w:tcPr>
          <w:p w14:paraId="69BCA796" w14:textId="77777777" w:rsidR="001223AA" w:rsidRPr="003A257F" w:rsidRDefault="001223AA" w:rsidP="001E6632">
            <w:pPr>
              <w:pStyle w:val="CDIFigure-Table-BodyTextCentre"/>
            </w:pPr>
            <w:r w:rsidRPr="003A257F">
              <w:t>151</w:t>
            </w:r>
          </w:p>
        </w:tc>
        <w:tc>
          <w:tcPr>
            <w:tcW w:w="1191" w:type="dxa"/>
            <w:tcMar>
              <w:top w:w="113" w:type="dxa"/>
              <w:left w:w="113" w:type="dxa"/>
              <w:bottom w:w="113" w:type="dxa"/>
              <w:right w:w="113" w:type="dxa"/>
            </w:tcMar>
            <w:vAlign w:val="center"/>
          </w:tcPr>
          <w:p w14:paraId="057614C4" w14:textId="77777777" w:rsidR="001223AA" w:rsidRPr="003A257F" w:rsidRDefault="001223AA" w:rsidP="001E6632">
            <w:pPr>
              <w:pStyle w:val="CDIFigure-Table-BodyTextCentre"/>
            </w:pPr>
            <w:r w:rsidRPr="003A257F">
              <w:t>20</w:t>
            </w:r>
          </w:p>
        </w:tc>
        <w:tc>
          <w:tcPr>
            <w:tcW w:w="1190" w:type="dxa"/>
            <w:tcMar>
              <w:top w:w="113" w:type="dxa"/>
              <w:left w:w="113" w:type="dxa"/>
              <w:bottom w:w="113" w:type="dxa"/>
              <w:right w:w="113" w:type="dxa"/>
            </w:tcMar>
            <w:vAlign w:val="center"/>
          </w:tcPr>
          <w:p w14:paraId="1E074C91" w14:textId="77777777" w:rsidR="001223AA" w:rsidRPr="003A257F" w:rsidRDefault="001223AA" w:rsidP="001E6632">
            <w:pPr>
              <w:pStyle w:val="CDIFigure-Table-BodyTextCentre"/>
            </w:pPr>
            <w:r w:rsidRPr="003A257F">
              <w:t>-12%</w:t>
            </w:r>
          </w:p>
        </w:tc>
        <w:tc>
          <w:tcPr>
            <w:tcW w:w="1191" w:type="dxa"/>
            <w:tcMar>
              <w:top w:w="113" w:type="dxa"/>
              <w:left w:w="113" w:type="dxa"/>
              <w:bottom w:w="113" w:type="dxa"/>
              <w:right w:w="113" w:type="dxa"/>
            </w:tcMar>
            <w:vAlign w:val="center"/>
          </w:tcPr>
          <w:p w14:paraId="19111458" w14:textId="77777777" w:rsidR="001223AA" w:rsidRPr="003A257F" w:rsidRDefault="001223AA" w:rsidP="001E6632">
            <w:pPr>
              <w:pStyle w:val="CDIFigure-Table-BodyTextCentre"/>
            </w:pPr>
            <w:r w:rsidRPr="003A257F">
              <w:t>-75%</w:t>
            </w:r>
          </w:p>
        </w:tc>
        <w:tc>
          <w:tcPr>
            <w:tcW w:w="1190" w:type="dxa"/>
            <w:tcMar>
              <w:top w:w="113" w:type="dxa"/>
              <w:left w:w="113" w:type="dxa"/>
              <w:bottom w:w="113" w:type="dxa"/>
              <w:right w:w="113" w:type="dxa"/>
            </w:tcMar>
            <w:vAlign w:val="center"/>
          </w:tcPr>
          <w:p w14:paraId="3F463A40" w14:textId="77777777" w:rsidR="001223AA" w:rsidRPr="003A257F" w:rsidRDefault="001223AA" w:rsidP="001E6632">
            <w:pPr>
              <w:pStyle w:val="CDIFigure-Table-BodyTextCentre"/>
            </w:pPr>
            <w:r w:rsidRPr="003A257F">
              <w:t>-88%</w:t>
            </w:r>
          </w:p>
        </w:tc>
        <w:tc>
          <w:tcPr>
            <w:tcW w:w="1134" w:type="dxa"/>
            <w:tcMar>
              <w:top w:w="113" w:type="dxa"/>
              <w:left w:w="113" w:type="dxa"/>
              <w:bottom w:w="113" w:type="dxa"/>
              <w:right w:w="113" w:type="dxa"/>
            </w:tcMar>
            <w:vAlign w:val="center"/>
          </w:tcPr>
          <w:p w14:paraId="043591A1" w14:textId="77777777" w:rsidR="001223AA" w:rsidRPr="003A257F" w:rsidRDefault="001223AA" w:rsidP="001E6632">
            <w:pPr>
              <w:pStyle w:val="CDIFigure-Table-BodyTextCentre"/>
            </w:pPr>
            <w:r w:rsidRPr="003A257F">
              <w:t>-97%</w:t>
            </w:r>
          </w:p>
        </w:tc>
      </w:tr>
      <w:tr w:rsidR="001223AA" w:rsidRPr="003A257F" w14:paraId="116888C6"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7825B3B8"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596C8A63" w14:textId="77777777" w:rsidR="001223AA" w:rsidRPr="003A257F" w:rsidRDefault="001223AA" w:rsidP="001E6632">
            <w:pPr>
              <w:pStyle w:val="CDIFigure-Table-BodyTextLeft"/>
            </w:pPr>
            <w:r w:rsidRPr="003A257F">
              <w:t>Pertussis</w:t>
            </w:r>
          </w:p>
        </w:tc>
        <w:tc>
          <w:tcPr>
            <w:tcW w:w="1190" w:type="dxa"/>
            <w:shd w:val="clear" w:color="auto" w:fill="F2F2F2" w:themeFill="background1" w:themeFillShade="F2"/>
            <w:tcMar>
              <w:top w:w="113" w:type="dxa"/>
              <w:left w:w="113" w:type="dxa"/>
              <w:bottom w:w="113" w:type="dxa"/>
              <w:right w:w="113" w:type="dxa"/>
            </w:tcMar>
            <w:vAlign w:val="center"/>
          </w:tcPr>
          <w:p w14:paraId="3405CB36" w14:textId="77777777" w:rsidR="001223AA" w:rsidRPr="003A257F" w:rsidRDefault="001223AA" w:rsidP="001E6632">
            <w:pPr>
              <w:pStyle w:val="CDIFigure-Table-BodyTextCentre"/>
            </w:pPr>
            <w:r w:rsidRPr="003A257F">
              <w:t>12,026</w:t>
            </w:r>
          </w:p>
        </w:tc>
        <w:tc>
          <w:tcPr>
            <w:tcW w:w="1248" w:type="dxa"/>
            <w:shd w:val="clear" w:color="auto" w:fill="F2F2F2" w:themeFill="background1" w:themeFillShade="F2"/>
            <w:tcMar>
              <w:top w:w="113" w:type="dxa"/>
              <w:left w:w="113" w:type="dxa"/>
              <w:bottom w:w="113" w:type="dxa"/>
              <w:right w:w="113" w:type="dxa"/>
            </w:tcMar>
            <w:vAlign w:val="center"/>
          </w:tcPr>
          <w:p w14:paraId="5D51A8E3" w14:textId="77777777" w:rsidR="001223AA" w:rsidRPr="003A257F" w:rsidRDefault="001223AA" w:rsidP="001E6632">
            <w:pPr>
              <w:pStyle w:val="CDIFigure-Table-BodyTextCentre"/>
            </w:pPr>
            <w:r w:rsidRPr="003A257F">
              <w:t>15,906</w:t>
            </w:r>
          </w:p>
        </w:tc>
        <w:tc>
          <w:tcPr>
            <w:tcW w:w="1190" w:type="dxa"/>
            <w:shd w:val="clear" w:color="auto" w:fill="F2F2F2" w:themeFill="background1" w:themeFillShade="F2"/>
            <w:tcMar>
              <w:top w:w="113" w:type="dxa"/>
              <w:left w:w="113" w:type="dxa"/>
              <w:bottom w:w="113" w:type="dxa"/>
              <w:right w:w="113" w:type="dxa"/>
            </w:tcMar>
            <w:vAlign w:val="center"/>
          </w:tcPr>
          <w:p w14:paraId="20C8F73D" w14:textId="77777777" w:rsidR="001223AA" w:rsidRPr="003A257F" w:rsidRDefault="001223AA" w:rsidP="001E6632">
            <w:pPr>
              <w:pStyle w:val="CDIFigure-Table-BodyTextCentre"/>
            </w:pPr>
            <w:r w:rsidRPr="003A257F">
              <w:t>3,458</w:t>
            </w:r>
          </w:p>
        </w:tc>
        <w:tc>
          <w:tcPr>
            <w:tcW w:w="1191" w:type="dxa"/>
            <w:shd w:val="clear" w:color="auto" w:fill="F2F2F2" w:themeFill="background1" w:themeFillShade="F2"/>
            <w:tcMar>
              <w:top w:w="113" w:type="dxa"/>
              <w:left w:w="113" w:type="dxa"/>
              <w:bottom w:w="113" w:type="dxa"/>
              <w:right w:w="113" w:type="dxa"/>
            </w:tcMar>
            <w:vAlign w:val="center"/>
          </w:tcPr>
          <w:p w14:paraId="58C1B2C7" w14:textId="77777777" w:rsidR="001223AA" w:rsidRPr="003A257F" w:rsidRDefault="001223AA" w:rsidP="001E6632">
            <w:pPr>
              <w:pStyle w:val="CDIFigure-Table-BodyTextCentre"/>
            </w:pPr>
            <w:r w:rsidRPr="003A257F">
              <w:t>555</w:t>
            </w:r>
          </w:p>
        </w:tc>
        <w:tc>
          <w:tcPr>
            <w:tcW w:w="1190" w:type="dxa"/>
            <w:shd w:val="clear" w:color="auto" w:fill="F2F2F2" w:themeFill="background1" w:themeFillShade="F2"/>
            <w:tcMar>
              <w:top w:w="113" w:type="dxa"/>
              <w:left w:w="113" w:type="dxa"/>
              <w:bottom w:w="113" w:type="dxa"/>
              <w:right w:w="113" w:type="dxa"/>
            </w:tcMar>
            <w:vAlign w:val="center"/>
          </w:tcPr>
          <w:p w14:paraId="19F47169" w14:textId="77777777" w:rsidR="001223AA" w:rsidRPr="003A257F" w:rsidRDefault="001223AA" w:rsidP="001E6632">
            <w:pPr>
              <w:pStyle w:val="CDIFigure-Table-BodyTextCentre"/>
            </w:pPr>
            <w:r w:rsidRPr="003A257F">
              <w:t>-71%</w:t>
            </w:r>
          </w:p>
        </w:tc>
        <w:tc>
          <w:tcPr>
            <w:tcW w:w="1191" w:type="dxa"/>
            <w:shd w:val="clear" w:color="auto" w:fill="F2F2F2" w:themeFill="background1" w:themeFillShade="F2"/>
            <w:tcMar>
              <w:top w:w="113" w:type="dxa"/>
              <w:left w:w="113" w:type="dxa"/>
              <w:bottom w:w="113" w:type="dxa"/>
              <w:right w:w="113" w:type="dxa"/>
            </w:tcMar>
            <w:vAlign w:val="center"/>
          </w:tcPr>
          <w:p w14:paraId="51AF78F3" w14:textId="77777777" w:rsidR="001223AA" w:rsidRPr="003A257F" w:rsidRDefault="001223AA" w:rsidP="001E6632">
            <w:pPr>
              <w:pStyle w:val="CDIFigure-Table-BodyTextCentre"/>
            </w:pPr>
            <w:r w:rsidRPr="003A257F">
              <w:t>-78%</w:t>
            </w:r>
          </w:p>
        </w:tc>
        <w:tc>
          <w:tcPr>
            <w:tcW w:w="1190" w:type="dxa"/>
            <w:shd w:val="clear" w:color="auto" w:fill="F2F2F2" w:themeFill="background1" w:themeFillShade="F2"/>
            <w:tcMar>
              <w:top w:w="113" w:type="dxa"/>
              <w:left w:w="113" w:type="dxa"/>
              <w:bottom w:w="113" w:type="dxa"/>
              <w:right w:w="113" w:type="dxa"/>
            </w:tcMar>
            <w:vAlign w:val="center"/>
          </w:tcPr>
          <w:p w14:paraId="53BFD7C5" w14:textId="77777777" w:rsidR="001223AA" w:rsidRPr="003A257F" w:rsidRDefault="001223AA" w:rsidP="001E6632">
            <w:pPr>
              <w:pStyle w:val="CDIFigure-Table-BodyTextCentre"/>
            </w:pPr>
            <w:r w:rsidRPr="003A257F">
              <w:t>-95%</w:t>
            </w:r>
          </w:p>
        </w:tc>
        <w:tc>
          <w:tcPr>
            <w:tcW w:w="1134" w:type="dxa"/>
            <w:shd w:val="clear" w:color="auto" w:fill="F2F2F2" w:themeFill="background1" w:themeFillShade="F2"/>
            <w:tcMar>
              <w:top w:w="113" w:type="dxa"/>
              <w:left w:w="113" w:type="dxa"/>
              <w:bottom w:w="113" w:type="dxa"/>
              <w:right w:w="113" w:type="dxa"/>
            </w:tcMar>
            <w:vAlign w:val="center"/>
          </w:tcPr>
          <w:p w14:paraId="01C58413" w14:textId="77777777" w:rsidR="001223AA" w:rsidRPr="003A257F" w:rsidRDefault="001223AA" w:rsidP="001E6632">
            <w:pPr>
              <w:pStyle w:val="CDIFigure-Table-BodyTextCentre"/>
            </w:pPr>
            <w:r w:rsidRPr="003A257F">
              <w:t>-97%</w:t>
            </w:r>
          </w:p>
        </w:tc>
      </w:tr>
      <w:tr w:rsidR="001223AA" w:rsidRPr="003A257F" w14:paraId="480E4DDB"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7253CC6D" w14:textId="77777777" w:rsidR="001223AA" w:rsidRPr="003A257F" w:rsidRDefault="001223AA" w:rsidP="003A257F"/>
        </w:tc>
        <w:tc>
          <w:tcPr>
            <w:tcW w:w="3345" w:type="dxa"/>
            <w:tcMar>
              <w:top w:w="113" w:type="dxa"/>
              <w:left w:w="113" w:type="dxa"/>
              <w:bottom w:w="113" w:type="dxa"/>
              <w:right w:w="113" w:type="dxa"/>
            </w:tcMar>
            <w:vAlign w:val="center"/>
          </w:tcPr>
          <w:p w14:paraId="13D660CB" w14:textId="77777777" w:rsidR="001223AA" w:rsidRPr="003A257F" w:rsidRDefault="001223AA" w:rsidP="001E6632">
            <w:pPr>
              <w:pStyle w:val="CDIFigure-Table-BodyTextLeft"/>
            </w:pPr>
            <w:r w:rsidRPr="003A257F">
              <w:t>Pneumococcal disease (invasive)</w:t>
            </w:r>
          </w:p>
        </w:tc>
        <w:tc>
          <w:tcPr>
            <w:tcW w:w="1190" w:type="dxa"/>
            <w:tcMar>
              <w:top w:w="113" w:type="dxa"/>
              <w:left w:w="113" w:type="dxa"/>
              <w:bottom w:w="113" w:type="dxa"/>
              <w:right w:w="113" w:type="dxa"/>
            </w:tcMar>
            <w:vAlign w:val="center"/>
          </w:tcPr>
          <w:p w14:paraId="224C1481" w14:textId="77777777" w:rsidR="001223AA" w:rsidRPr="003A257F" w:rsidRDefault="001223AA" w:rsidP="001E6632">
            <w:pPr>
              <w:pStyle w:val="CDIFigure-Table-BodyTextCentre"/>
            </w:pPr>
            <w:r w:rsidRPr="003A257F">
              <w:t>2,134</w:t>
            </w:r>
          </w:p>
        </w:tc>
        <w:tc>
          <w:tcPr>
            <w:tcW w:w="1248" w:type="dxa"/>
            <w:tcMar>
              <w:top w:w="113" w:type="dxa"/>
              <w:left w:w="113" w:type="dxa"/>
              <w:bottom w:w="113" w:type="dxa"/>
              <w:right w:w="113" w:type="dxa"/>
            </w:tcMar>
            <w:vAlign w:val="center"/>
          </w:tcPr>
          <w:p w14:paraId="5BBB5AA6" w14:textId="77777777" w:rsidR="001223AA" w:rsidRPr="003A257F" w:rsidRDefault="001223AA" w:rsidP="001E6632">
            <w:pPr>
              <w:pStyle w:val="CDIFigure-Table-BodyTextCentre"/>
            </w:pPr>
            <w:r w:rsidRPr="003A257F">
              <w:t>1,876</w:t>
            </w:r>
          </w:p>
        </w:tc>
        <w:tc>
          <w:tcPr>
            <w:tcW w:w="1190" w:type="dxa"/>
            <w:tcMar>
              <w:top w:w="113" w:type="dxa"/>
              <w:left w:w="113" w:type="dxa"/>
              <w:bottom w:w="113" w:type="dxa"/>
              <w:right w:w="113" w:type="dxa"/>
            </w:tcMar>
            <w:vAlign w:val="center"/>
          </w:tcPr>
          <w:p w14:paraId="3D917E94" w14:textId="77777777" w:rsidR="001223AA" w:rsidRPr="003A257F" w:rsidRDefault="001223AA" w:rsidP="001E6632">
            <w:pPr>
              <w:pStyle w:val="CDIFigure-Table-BodyTextCentre"/>
            </w:pPr>
            <w:r w:rsidRPr="003A257F">
              <w:t>1,116</w:t>
            </w:r>
          </w:p>
        </w:tc>
        <w:tc>
          <w:tcPr>
            <w:tcW w:w="1191" w:type="dxa"/>
            <w:tcMar>
              <w:top w:w="113" w:type="dxa"/>
              <w:left w:w="113" w:type="dxa"/>
              <w:bottom w:w="113" w:type="dxa"/>
              <w:right w:w="113" w:type="dxa"/>
            </w:tcMar>
            <w:vAlign w:val="center"/>
          </w:tcPr>
          <w:p w14:paraId="11B1B94D" w14:textId="77777777" w:rsidR="001223AA" w:rsidRPr="003A257F" w:rsidRDefault="001223AA" w:rsidP="001E6632">
            <w:pPr>
              <w:pStyle w:val="CDIFigure-Table-BodyTextCentre"/>
            </w:pPr>
            <w:r w:rsidRPr="003A257F">
              <w:t>1,341</w:t>
            </w:r>
          </w:p>
        </w:tc>
        <w:tc>
          <w:tcPr>
            <w:tcW w:w="1190" w:type="dxa"/>
            <w:tcMar>
              <w:top w:w="113" w:type="dxa"/>
              <w:left w:w="113" w:type="dxa"/>
              <w:bottom w:w="113" w:type="dxa"/>
              <w:right w:w="113" w:type="dxa"/>
            </w:tcMar>
            <w:vAlign w:val="center"/>
          </w:tcPr>
          <w:p w14:paraId="6A1E8807" w14:textId="77777777" w:rsidR="001223AA" w:rsidRPr="003A257F" w:rsidRDefault="001223AA" w:rsidP="001E6632">
            <w:pPr>
              <w:pStyle w:val="CDIFigure-Table-BodyTextCentre"/>
            </w:pPr>
            <w:r w:rsidRPr="003A257F">
              <w:t>-48%</w:t>
            </w:r>
          </w:p>
        </w:tc>
        <w:tc>
          <w:tcPr>
            <w:tcW w:w="1191" w:type="dxa"/>
            <w:tcMar>
              <w:top w:w="113" w:type="dxa"/>
              <w:left w:w="113" w:type="dxa"/>
              <w:bottom w:w="113" w:type="dxa"/>
              <w:right w:w="113" w:type="dxa"/>
            </w:tcMar>
            <w:vAlign w:val="center"/>
          </w:tcPr>
          <w:p w14:paraId="30555234" w14:textId="77777777" w:rsidR="001223AA" w:rsidRPr="003A257F" w:rsidRDefault="001223AA" w:rsidP="001E6632">
            <w:pPr>
              <w:pStyle w:val="CDIFigure-Table-BodyTextCentre"/>
            </w:pPr>
            <w:r w:rsidRPr="003A257F">
              <w:t>-40%</w:t>
            </w:r>
          </w:p>
        </w:tc>
        <w:tc>
          <w:tcPr>
            <w:tcW w:w="1190" w:type="dxa"/>
            <w:tcMar>
              <w:top w:w="113" w:type="dxa"/>
              <w:left w:w="113" w:type="dxa"/>
              <w:bottom w:w="113" w:type="dxa"/>
              <w:right w:w="113" w:type="dxa"/>
            </w:tcMar>
            <w:vAlign w:val="center"/>
          </w:tcPr>
          <w:p w14:paraId="543F70AD" w14:textId="77777777" w:rsidR="001223AA" w:rsidRPr="003A257F" w:rsidRDefault="001223AA" w:rsidP="001E6632">
            <w:pPr>
              <w:pStyle w:val="CDIFigure-Table-BodyTextCentre"/>
            </w:pPr>
            <w:r w:rsidRPr="003A257F">
              <w:t>-37%</w:t>
            </w:r>
          </w:p>
        </w:tc>
        <w:tc>
          <w:tcPr>
            <w:tcW w:w="1134" w:type="dxa"/>
            <w:tcMar>
              <w:top w:w="113" w:type="dxa"/>
              <w:left w:w="113" w:type="dxa"/>
              <w:bottom w:w="113" w:type="dxa"/>
              <w:right w:w="113" w:type="dxa"/>
            </w:tcMar>
            <w:vAlign w:val="center"/>
          </w:tcPr>
          <w:p w14:paraId="20D28A3F" w14:textId="77777777" w:rsidR="001223AA" w:rsidRPr="003A257F" w:rsidRDefault="001223AA" w:rsidP="001E6632">
            <w:pPr>
              <w:pStyle w:val="CDIFigure-Table-BodyTextCentre"/>
            </w:pPr>
            <w:r w:rsidRPr="003A257F">
              <w:t>-29%</w:t>
            </w:r>
          </w:p>
        </w:tc>
      </w:tr>
      <w:tr w:rsidR="001223AA" w:rsidRPr="003A257F" w14:paraId="66615F54"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67CDA286"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56E0D1F5" w14:textId="77777777" w:rsidR="001223AA" w:rsidRPr="003A257F" w:rsidRDefault="001223AA" w:rsidP="001E6632">
            <w:pPr>
              <w:pStyle w:val="CDIFigure-Table-BodyTextLeft"/>
            </w:pPr>
            <w:r w:rsidRPr="003A257F">
              <w:t>Rotavirus</w:t>
            </w:r>
            <w:r w:rsidRPr="001223AA">
              <w:rPr>
                <w:vertAlign w:val="superscript"/>
              </w:rPr>
              <w:t>d</w:t>
            </w:r>
          </w:p>
        </w:tc>
        <w:tc>
          <w:tcPr>
            <w:tcW w:w="1190" w:type="dxa"/>
            <w:shd w:val="clear" w:color="auto" w:fill="F2F2F2" w:themeFill="background1" w:themeFillShade="F2"/>
            <w:tcMar>
              <w:top w:w="113" w:type="dxa"/>
              <w:left w:w="113" w:type="dxa"/>
              <w:bottom w:w="113" w:type="dxa"/>
              <w:right w:w="113" w:type="dxa"/>
            </w:tcMar>
            <w:vAlign w:val="center"/>
          </w:tcPr>
          <w:p w14:paraId="09E397B2" w14:textId="77777777" w:rsidR="001223AA" w:rsidRPr="003A257F" w:rsidRDefault="001223AA" w:rsidP="001E6632">
            <w:pPr>
              <w:pStyle w:val="CDIFigure-Table-BodyTextCentre"/>
            </w:pPr>
            <w:r w:rsidRPr="003A257F">
              <w:t>6,200</w:t>
            </w:r>
          </w:p>
        </w:tc>
        <w:tc>
          <w:tcPr>
            <w:tcW w:w="1248" w:type="dxa"/>
            <w:shd w:val="clear" w:color="auto" w:fill="F2F2F2" w:themeFill="background1" w:themeFillShade="F2"/>
            <w:tcMar>
              <w:top w:w="113" w:type="dxa"/>
              <w:left w:w="113" w:type="dxa"/>
              <w:bottom w:w="113" w:type="dxa"/>
              <w:right w:w="113" w:type="dxa"/>
            </w:tcMar>
            <w:vAlign w:val="center"/>
          </w:tcPr>
          <w:p w14:paraId="7B3F4C85" w14:textId="77777777" w:rsidR="001223AA" w:rsidRPr="003A257F" w:rsidRDefault="001223AA" w:rsidP="001E6632">
            <w:pPr>
              <w:pStyle w:val="CDIFigure-Table-BodyTextCentre"/>
            </w:pPr>
            <w:r w:rsidRPr="003A257F">
              <w:t>—</w:t>
            </w:r>
          </w:p>
        </w:tc>
        <w:tc>
          <w:tcPr>
            <w:tcW w:w="1190" w:type="dxa"/>
            <w:shd w:val="clear" w:color="auto" w:fill="F2F2F2" w:themeFill="background1" w:themeFillShade="F2"/>
            <w:tcMar>
              <w:top w:w="113" w:type="dxa"/>
              <w:left w:w="113" w:type="dxa"/>
              <w:bottom w:w="113" w:type="dxa"/>
              <w:right w:w="113" w:type="dxa"/>
            </w:tcMar>
            <w:vAlign w:val="center"/>
          </w:tcPr>
          <w:p w14:paraId="466787BF" w14:textId="77777777" w:rsidR="001223AA" w:rsidRPr="003A257F" w:rsidRDefault="001223AA" w:rsidP="001E6632">
            <w:pPr>
              <w:pStyle w:val="CDIFigure-Table-BodyTextCentre"/>
            </w:pPr>
            <w:r w:rsidRPr="003A257F">
              <w:t>1,707</w:t>
            </w:r>
          </w:p>
        </w:tc>
        <w:tc>
          <w:tcPr>
            <w:tcW w:w="1191" w:type="dxa"/>
            <w:shd w:val="clear" w:color="auto" w:fill="F2F2F2" w:themeFill="background1" w:themeFillShade="F2"/>
            <w:tcMar>
              <w:top w:w="113" w:type="dxa"/>
              <w:left w:w="113" w:type="dxa"/>
              <w:bottom w:w="113" w:type="dxa"/>
              <w:right w:w="113" w:type="dxa"/>
            </w:tcMar>
            <w:vAlign w:val="center"/>
          </w:tcPr>
          <w:p w14:paraId="0CCF86ED" w14:textId="77777777" w:rsidR="001223AA" w:rsidRPr="003A257F" w:rsidRDefault="001223AA" w:rsidP="001E6632">
            <w:pPr>
              <w:pStyle w:val="CDIFigure-Table-BodyTextCentre"/>
            </w:pPr>
            <w:r w:rsidRPr="003A257F">
              <w:t>2,581</w:t>
            </w:r>
          </w:p>
        </w:tc>
        <w:tc>
          <w:tcPr>
            <w:tcW w:w="1190" w:type="dxa"/>
            <w:shd w:val="clear" w:color="auto" w:fill="F2F2F2" w:themeFill="background1" w:themeFillShade="F2"/>
            <w:tcMar>
              <w:top w:w="113" w:type="dxa"/>
              <w:left w:w="113" w:type="dxa"/>
              <w:bottom w:w="113" w:type="dxa"/>
              <w:right w:w="113" w:type="dxa"/>
            </w:tcMar>
            <w:vAlign w:val="center"/>
          </w:tcPr>
          <w:p w14:paraId="1077F217" w14:textId="77777777" w:rsidR="001223AA" w:rsidRPr="003A257F" w:rsidRDefault="001223AA" w:rsidP="001E6632">
            <w:pPr>
              <w:pStyle w:val="CDIFigure-Table-BodyTextCentre"/>
            </w:pPr>
            <w:r w:rsidRPr="003A257F">
              <w:t>-72%</w:t>
            </w:r>
          </w:p>
        </w:tc>
        <w:tc>
          <w:tcPr>
            <w:tcW w:w="1191" w:type="dxa"/>
            <w:shd w:val="clear" w:color="auto" w:fill="F2F2F2" w:themeFill="background1" w:themeFillShade="F2"/>
            <w:tcMar>
              <w:top w:w="113" w:type="dxa"/>
              <w:left w:w="113" w:type="dxa"/>
              <w:bottom w:w="113" w:type="dxa"/>
              <w:right w:w="113" w:type="dxa"/>
            </w:tcMar>
            <w:vAlign w:val="center"/>
          </w:tcPr>
          <w:p w14:paraId="648F147A" w14:textId="77777777" w:rsidR="001223AA" w:rsidRPr="003A257F" w:rsidRDefault="001223AA" w:rsidP="001E6632">
            <w:pPr>
              <w:pStyle w:val="CDIFigure-Table-BodyTextCentre"/>
            </w:pPr>
            <w:r w:rsidRPr="003A257F">
              <w:t>—</w:t>
            </w:r>
          </w:p>
        </w:tc>
        <w:tc>
          <w:tcPr>
            <w:tcW w:w="1190" w:type="dxa"/>
            <w:shd w:val="clear" w:color="auto" w:fill="F2F2F2" w:themeFill="background1" w:themeFillShade="F2"/>
            <w:tcMar>
              <w:top w:w="113" w:type="dxa"/>
              <w:left w:w="113" w:type="dxa"/>
              <w:bottom w:w="113" w:type="dxa"/>
              <w:right w:w="113" w:type="dxa"/>
            </w:tcMar>
            <w:vAlign w:val="center"/>
          </w:tcPr>
          <w:p w14:paraId="60116808" w14:textId="77777777" w:rsidR="001223AA" w:rsidRPr="003A257F" w:rsidRDefault="001223AA" w:rsidP="001E6632">
            <w:pPr>
              <w:pStyle w:val="CDIFigure-Table-BodyTextCentre"/>
            </w:pPr>
            <w:r w:rsidRPr="003A257F">
              <w:t>-58%</w:t>
            </w:r>
          </w:p>
        </w:tc>
        <w:tc>
          <w:tcPr>
            <w:tcW w:w="1134" w:type="dxa"/>
            <w:shd w:val="clear" w:color="auto" w:fill="F2F2F2" w:themeFill="background1" w:themeFillShade="F2"/>
            <w:tcMar>
              <w:top w:w="113" w:type="dxa"/>
              <w:left w:w="113" w:type="dxa"/>
              <w:bottom w:w="113" w:type="dxa"/>
              <w:right w:w="113" w:type="dxa"/>
            </w:tcMar>
            <w:vAlign w:val="center"/>
          </w:tcPr>
          <w:p w14:paraId="16D0E156" w14:textId="77777777" w:rsidR="001223AA" w:rsidRPr="003A257F" w:rsidRDefault="001223AA" w:rsidP="001E6632">
            <w:pPr>
              <w:pStyle w:val="CDIFigure-Table-BodyTextCentre"/>
            </w:pPr>
            <w:r w:rsidRPr="003A257F">
              <w:t>—</w:t>
            </w:r>
          </w:p>
        </w:tc>
      </w:tr>
      <w:tr w:rsidR="001223AA" w:rsidRPr="003A257F" w14:paraId="5C743E3A"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40931778" w14:textId="77777777" w:rsidR="001223AA" w:rsidRPr="003A257F" w:rsidRDefault="001223AA" w:rsidP="003A257F"/>
        </w:tc>
        <w:tc>
          <w:tcPr>
            <w:tcW w:w="3345" w:type="dxa"/>
            <w:tcMar>
              <w:top w:w="113" w:type="dxa"/>
              <w:left w:w="113" w:type="dxa"/>
              <w:bottom w:w="113" w:type="dxa"/>
              <w:right w:w="113" w:type="dxa"/>
            </w:tcMar>
            <w:vAlign w:val="center"/>
          </w:tcPr>
          <w:p w14:paraId="65F83D65" w14:textId="77777777" w:rsidR="001223AA" w:rsidRPr="003A257F" w:rsidRDefault="001223AA" w:rsidP="001E6632">
            <w:pPr>
              <w:pStyle w:val="CDIFigure-Table-BodyTextLeft"/>
            </w:pPr>
            <w:r w:rsidRPr="003A257F">
              <w:t>Rubella</w:t>
            </w:r>
          </w:p>
        </w:tc>
        <w:tc>
          <w:tcPr>
            <w:tcW w:w="1190" w:type="dxa"/>
            <w:tcMar>
              <w:top w:w="113" w:type="dxa"/>
              <w:left w:w="113" w:type="dxa"/>
              <w:bottom w:w="113" w:type="dxa"/>
              <w:right w:w="113" w:type="dxa"/>
            </w:tcMar>
            <w:vAlign w:val="center"/>
          </w:tcPr>
          <w:p w14:paraId="7F582D9F" w14:textId="77777777" w:rsidR="001223AA" w:rsidRPr="003A257F" w:rsidRDefault="001223AA" w:rsidP="001E6632">
            <w:pPr>
              <w:pStyle w:val="CDIFigure-Table-BodyTextCentre"/>
            </w:pPr>
            <w:r w:rsidRPr="003A257F">
              <w:t>20</w:t>
            </w:r>
          </w:p>
        </w:tc>
        <w:tc>
          <w:tcPr>
            <w:tcW w:w="1248" w:type="dxa"/>
            <w:tcMar>
              <w:top w:w="113" w:type="dxa"/>
              <w:left w:w="113" w:type="dxa"/>
              <w:bottom w:w="113" w:type="dxa"/>
              <w:right w:w="113" w:type="dxa"/>
            </w:tcMar>
            <w:vAlign w:val="center"/>
          </w:tcPr>
          <w:p w14:paraId="74DB161C" w14:textId="77777777" w:rsidR="001223AA" w:rsidRPr="003A257F" w:rsidRDefault="001223AA" w:rsidP="001E6632">
            <w:pPr>
              <w:pStyle w:val="CDIFigure-Table-BodyTextCentre"/>
            </w:pPr>
            <w:r w:rsidRPr="003A257F">
              <w:t>15</w:t>
            </w:r>
          </w:p>
        </w:tc>
        <w:tc>
          <w:tcPr>
            <w:tcW w:w="1190" w:type="dxa"/>
            <w:tcMar>
              <w:top w:w="113" w:type="dxa"/>
              <w:left w:w="113" w:type="dxa"/>
              <w:bottom w:w="113" w:type="dxa"/>
              <w:right w:w="113" w:type="dxa"/>
            </w:tcMar>
            <w:vAlign w:val="center"/>
          </w:tcPr>
          <w:p w14:paraId="13EC1900" w14:textId="77777777" w:rsidR="001223AA" w:rsidRPr="003A257F" w:rsidRDefault="001223AA" w:rsidP="001E6632">
            <w:pPr>
              <w:pStyle w:val="CDIFigure-Table-BodyTextCentre"/>
            </w:pPr>
            <w:r w:rsidRPr="003A257F">
              <w:t>3</w:t>
            </w:r>
          </w:p>
        </w:tc>
        <w:tc>
          <w:tcPr>
            <w:tcW w:w="1191" w:type="dxa"/>
            <w:tcMar>
              <w:top w:w="113" w:type="dxa"/>
              <w:left w:w="113" w:type="dxa"/>
              <w:bottom w:w="113" w:type="dxa"/>
              <w:right w:w="113" w:type="dxa"/>
            </w:tcMar>
            <w:vAlign w:val="center"/>
          </w:tcPr>
          <w:p w14:paraId="6387CCF8" w14:textId="77777777" w:rsidR="001223AA" w:rsidRPr="003A257F" w:rsidRDefault="001223AA" w:rsidP="001E6632">
            <w:pPr>
              <w:pStyle w:val="CDIFigure-Table-BodyTextCentre"/>
            </w:pPr>
            <w:r w:rsidRPr="003A257F">
              <w:t>3</w:t>
            </w:r>
          </w:p>
        </w:tc>
        <w:tc>
          <w:tcPr>
            <w:tcW w:w="1190" w:type="dxa"/>
            <w:tcMar>
              <w:top w:w="113" w:type="dxa"/>
              <w:left w:w="113" w:type="dxa"/>
              <w:bottom w:w="113" w:type="dxa"/>
              <w:right w:w="113" w:type="dxa"/>
            </w:tcMar>
            <w:vAlign w:val="center"/>
          </w:tcPr>
          <w:p w14:paraId="6BCF3A3B" w14:textId="77777777" w:rsidR="001223AA" w:rsidRPr="003A257F" w:rsidRDefault="001223AA" w:rsidP="001E6632">
            <w:pPr>
              <w:pStyle w:val="CDIFigure-Table-BodyTextCentre"/>
            </w:pPr>
            <w:r w:rsidRPr="003A257F">
              <w:t>-85%</w:t>
            </w:r>
          </w:p>
        </w:tc>
        <w:tc>
          <w:tcPr>
            <w:tcW w:w="1191" w:type="dxa"/>
            <w:tcMar>
              <w:top w:w="113" w:type="dxa"/>
              <w:left w:w="113" w:type="dxa"/>
              <w:bottom w:w="113" w:type="dxa"/>
              <w:right w:w="113" w:type="dxa"/>
            </w:tcMar>
            <w:vAlign w:val="center"/>
          </w:tcPr>
          <w:p w14:paraId="07F9D81B" w14:textId="77777777" w:rsidR="001223AA" w:rsidRPr="003A257F" w:rsidRDefault="001223AA" w:rsidP="001E6632">
            <w:pPr>
              <w:pStyle w:val="CDIFigure-Table-BodyTextCentre"/>
            </w:pPr>
            <w:r w:rsidRPr="003A257F">
              <w:t>-79%</w:t>
            </w:r>
          </w:p>
        </w:tc>
        <w:tc>
          <w:tcPr>
            <w:tcW w:w="1190" w:type="dxa"/>
            <w:tcMar>
              <w:top w:w="113" w:type="dxa"/>
              <w:left w:w="113" w:type="dxa"/>
              <w:bottom w:w="113" w:type="dxa"/>
              <w:right w:w="113" w:type="dxa"/>
            </w:tcMar>
            <w:vAlign w:val="center"/>
          </w:tcPr>
          <w:p w14:paraId="16E4423A" w14:textId="77777777" w:rsidR="001223AA" w:rsidRPr="003A257F" w:rsidRDefault="001223AA" w:rsidP="001E6632">
            <w:pPr>
              <w:pStyle w:val="CDIFigure-Table-BodyTextCentre"/>
            </w:pPr>
            <w:r w:rsidRPr="003A257F">
              <w:t>-85%</w:t>
            </w:r>
          </w:p>
        </w:tc>
        <w:tc>
          <w:tcPr>
            <w:tcW w:w="1134" w:type="dxa"/>
            <w:tcMar>
              <w:top w:w="113" w:type="dxa"/>
              <w:left w:w="113" w:type="dxa"/>
              <w:bottom w:w="113" w:type="dxa"/>
              <w:right w:w="113" w:type="dxa"/>
            </w:tcMar>
            <w:vAlign w:val="center"/>
          </w:tcPr>
          <w:p w14:paraId="4DCD6A4F" w14:textId="77777777" w:rsidR="001223AA" w:rsidRPr="003A257F" w:rsidRDefault="001223AA" w:rsidP="001E6632">
            <w:pPr>
              <w:pStyle w:val="CDIFigure-Table-BodyTextCentre"/>
            </w:pPr>
            <w:r w:rsidRPr="003A257F">
              <w:t>-79%</w:t>
            </w:r>
          </w:p>
        </w:tc>
      </w:tr>
      <w:tr w:rsidR="001223AA" w:rsidRPr="003A257F" w14:paraId="3EE2BF55"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28415A1" w14:textId="77777777" w:rsidR="001223AA" w:rsidRPr="003A257F" w:rsidRDefault="001223AA" w:rsidP="001E6632">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503EA42B" w14:textId="77777777" w:rsidR="001223AA" w:rsidRPr="003A257F" w:rsidRDefault="001223AA" w:rsidP="001E6632">
            <w:pPr>
              <w:pStyle w:val="CDIFigure-Table-BodyTextLeft"/>
            </w:pPr>
            <w:r w:rsidRPr="003A257F">
              <w:t>Tetanus</w:t>
            </w:r>
          </w:p>
        </w:tc>
        <w:tc>
          <w:tcPr>
            <w:tcW w:w="1190" w:type="dxa"/>
            <w:shd w:val="clear" w:color="auto" w:fill="F2F2F2" w:themeFill="background1" w:themeFillShade="F2"/>
            <w:tcMar>
              <w:top w:w="113" w:type="dxa"/>
              <w:left w:w="113" w:type="dxa"/>
              <w:bottom w:w="113" w:type="dxa"/>
              <w:right w:w="113" w:type="dxa"/>
            </w:tcMar>
            <w:vAlign w:val="center"/>
          </w:tcPr>
          <w:p w14:paraId="0E2CE801" w14:textId="77777777" w:rsidR="001223AA" w:rsidRPr="003A257F" w:rsidRDefault="001223AA" w:rsidP="001E6632">
            <w:pPr>
              <w:pStyle w:val="CDIFigure-Table-BodyTextCentre"/>
            </w:pPr>
            <w:r w:rsidRPr="003A257F">
              <w:t>3</w:t>
            </w:r>
          </w:p>
        </w:tc>
        <w:tc>
          <w:tcPr>
            <w:tcW w:w="1248" w:type="dxa"/>
            <w:shd w:val="clear" w:color="auto" w:fill="F2F2F2" w:themeFill="background1" w:themeFillShade="F2"/>
            <w:tcMar>
              <w:top w:w="113" w:type="dxa"/>
              <w:left w:w="113" w:type="dxa"/>
              <w:bottom w:w="113" w:type="dxa"/>
              <w:right w:w="113" w:type="dxa"/>
            </w:tcMar>
            <w:vAlign w:val="center"/>
          </w:tcPr>
          <w:p w14:paraId="6BCD34CB" w14:textId="77777777" w:rsidR="001223AA" w:rsidRPr="003A257F" w:rsidRDefault="001223AA" w:rsidP="001E6632">
            <w:pPr>
              <w:pStyle w:val="CDIFigure-Table-BodyTextCentre"/>
            </w:pPr>
            <w:r w:rsidRPr="003A257F">
              <w:t>4</w:t>
            </w:r>
          </w:p>
        </w:tc>
        <w:tc>
          <w:tcPr>
            <w:tcW w:w="1190" w:type="dxa"/>
            <w:shd w:val="clear" w:color="auto" w:fill="F2F2F2" w:themeFill="background1" w:themeFillShade="F2"/>
            <w:tcMar>
              <w:top w:w="113" w:type="dxa"/>
              <w:left w:w="113" w:type="dxa"/>
              <w:bottom w:w="113" w:type="dxa"/>
              <w:right w:w="113" w:type="dxa"/>
            </w:tcMar>
            <w:vAlign w:val="center"/>
          </w:tcPr>
          <w:p w14:paraId="3A6F460F" w14:textId="77777777" w:rsidR="001223AA" w:rsidRPr="003A257F" w:rsidRDefault="001223AA" w:rsidP="001E6632">
            <w:pPr>
              <w:pStyle w:val="CDIFigure-Table-BodyTextCentre"/>
            </w:pPr>
            <w:r w:rsidRPr="003A257F">
              <w:t>7</w:t>
            </w:r>
          </w:p>
        </w:tc>
        <w:tc>
          <w:tcPr>
            <w:tcW w:w="1191" w:type="dxa"/>
            <w:shd w:val="clear" w:color="auto" w:fill="F2F2F2" w:themeFill="background1" w:themeFillShade="F2"/>
            <w:tcMar>
              <w:top w:w="113" w:type="dxa"/>
              <w:left w:w="113" w:type="dxa"/>
              <w:bottom w:w="113" w:type="dxa"/>
              <w:right w:w="113" w:type="dxa"/>
            </w:tcMar>
            <w:vAlign w:val="center"/>
          </w:tcPr>
          <w:p w14:paraId="59DF8018" w14:textId="77777777" w:rsidR="001223AA" w:rsidRPr="003A257F" w:rsidRDefault="001223AA" w:rsidP="001E6632">
            <w:pPr>
              <w:pStyle w:val="CDIFigure-Table-BodyTextCentre"/>
            </w:pPr>
            <w:r w:rsidRPr="003A257F">
              <w:t>3</w:t>
            </w:r>
          </w:p>
        </w:tc>
        <w:tc>
          <w:tcPr>
            <w:tcW w:w="1190" w:type="dxa"/>
            <w:shd w:val="clear" w:color="auto" w:fill="F2F2F2" w:themeFill="background1" w:themeFillShade="F2"/>
            <w:tcMar>
              <w:top w:w="113" w:type="dxa"/>
              <w:left w:w="113" w:type="dxa"/>
              <w:bottom w:w="113" w:type="dxa"/>
              <w:right w:w="113" w:type="dxa"/>
            </w:tcMar>
            <w:vAlign w:val="center"/>
          </w:tcPr>
          <w:p w14:paraId="6E41FFF8" w14:textId="77777777" w:rsidR="001223AA" w:rsidRPr="003A257F" w:rsidRDefault="001223AA" w:rsidP="001E6632">
            <w:pPr>
              <w:pStyle w:val="CDIFigure-Table-BodyTextCentre"/>
            </w:pPr>
            <w:r w:rsidRPr="003A257F">
              <w:t>133%</w:t>
            </w:r>
          </w:p>
        </w:tc>
        <w:tc>
          <w:tcPr>
            <w:tcW w:w="1191" w:type="dxa"/>
            <w:shd w:val="clear" w:color="auto" w:fill="F2F2F2" w:themeFill="background1" w:themeFillShade="F2"/>
            <w:tcMar>
              <w:top w:w="113" w:type="dxa"/>
              <w:left w:w="113" w:type="dxa"/>
              <w:bottom w:w="113" w:type="dxa"/>
              <w:right w:w="113" w:type="dxa"/>
            </w:tcMar>
            <w:vAlign w:val="center"/>
          </w:tcPr>
          <w:p w14:paraId="7505B278" w14:textId="77777777" w:rsidR="001223AA" w:rsidRPr="003A257F" w:rsidRDefault="001223AA" w:rsidP="001E6632">
            <w:pPr>
              <w:pStyle w:val="CDIFigure-Table-BodyTextCentre"/>
            </w:pPr>
            <w:r w:rsidRPr="003A257F">
              <w:t>84%</w:t>
            </w:r>
          </w:p>
        </w:tc>
        <w:tc>
          <w:tcPr>
            <w:tcW w:w="1190" w:type="dxa"/>
            <w:shd w:val="clear" w:color="auto" w:fill="F2F2F2" w:themeFill="background1" w:themeFillShade="F2"/>
            <w:tcMar>
              <w:top w:w="113" w:type="dxa"/>
              <w:left w:w="113" w:type="dxa"/>
              <w:bottom w:w="113" w:type="dxa"/>
              <w:right w:w="113" w:type="dxa"/>
            </w:tcMar>
            <w:vAlign w:val="center"/>
          </w:tcPr>
          <w:p w14:paraId="769C9CA7" w14:textId="77777777" w:rsidR="001223AA" w:rsidRPr="003A257F" w:rsidRDefault="001223AA" w:rsidP="001E6632">
            <w:pPr>
              <w:pStyle w:val="CDIFigure-Table-BodyTextCentre"/>
            </w:pPr>
            <w:r w:rsidRPr="003A257F">
              <w:t>0%</w:t>
            </w:r>
          </w:p>
        </w:tc>
        <w:tc>
          <w:tcPr>
            <w:tcW w:w="1134" w:type="dxa"/>
            <w:shd w:val="clear" w:color="auto" w:fill="F2F2F2" w:themeFill="background1" w:themeFillShade="F2"/>
            <w:tcMar>
              <w:top w:w="113" w:type="dxa"/>
              <w:left w:w="113" w:type="dxa"/>
              <w:bottom w:w="113" w:type="dxa"/>
              <w:right w:w="113" w:type="dxa"/>
            </w:tcMar>
            <w:vAlign w:val="center"/>
          </w:tcPr>
          <w:p w14:paraId="7132A4A2" w14:textId="77777777" w:rsidR="001223AA" w:rsidRPr="003A257F" w:rsidRDefault="001223AA" w:rsidP="001E6632">
            <w:pPr>
              <w:pStyle w:val="CDIFigure-Table-BodyTextCentre"/>
            </w:pPr>
            <w:r w:rsidRPr="003A257F">
              <w:t>-21%</w:t>
            </w:r>
          </w:p>
        </w:tc>
      </w:tr>
      <w:tr w:rsidR="001223AA" w:rsidRPr="003A257F" w14:paraId="060D263E"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1BD2E9B0" w14:textId="77777777" w:rsidR="001223AA" w:rsidRPr="003A257F" w:rsidRDefault="001223AA" w:rsidP="003A257F"/>
        </w:tc>
        <w:tc>
          <w:tcPr>
            <w:tcW w:w="3345" w:type="dxa"/>
            <w:tcMar>
              <w:top w:w="113" w:type="dxa"/>
              <w:left w:w="113" w:type="dxa"/>
              <w:bottom w:w="113" w:type="dxa"/>
              <w:right w:w="113" w:type="dxa"/>
            </w:tcMar>
            <w:vAlign w:val="center"/>
          </w:tcPr>
          <w:p w14:paraId="055BB532" w14:textId="77777777" w:rsidR="001223AA" w:rsidRPr="003A257F" w:rsidRDefault="001223AA" w:rsidP="001E6632">
            <w:pPr>
              <w:pStyle w:val="CDIFigure-Table-BodyTextLeft"/>
            </w:pPr>
            <w:r w:rsidRPr="003A257F">
              <w:t>Varicella zoster (chickenpox)</w:t>
            </w:r>
          </w:p>
        </w:tc>
        <w:tc>
          <w:tcPr>
            <w:tcW w:w="1190" w:type="dxa"/>
            <w:tcMar>
              <w:top w:w="113" w:type="dxa"/>
              <w:left w:w="113" w:type="dxa"/>
              <w:bottom w:w="113" w:type="dxa"/>
              <w:right w:w="113" w:type="dxa"/>
            </w:tcMar>
            <w:vAlign w:val="center"/>
          </w:tcPr>
          <w:p w14:paraId="2A42F1BE" w14:textId="77777777" w:rsidR="001223AA" w:rsidRPr="003A257F" w:rsidRDefault="001223AA" w:rsidP="001E6632">
            <w:pPr>
              <w:pStyle w:val="CDIFigure-Table-BodyTextCentre"/>
            </w:pPr>
            <w:r w:rsidRPr="003A257F">
              <w:t>4,432</w:t>
            </w:r>
          </w:p>
        </w:tc>
        <w:tc>
          <w:tcPr>
            <w:tcW w:w="1248" w:type="dxa"/>
            <w:tcMar>
              <w:top w:w="113" w:type="dxa"/>
              <w:left w:w="113" w:type="dxa"/>
              <w:bottom w:w="113" w:type="dxa"/>
              <w:right w:w="113" w:type="dxa"/>
            </w:tcMar>
            <w:vAlign w:val="center"/>
          </w:tcPr>
          <w:p w14:paraId="6540D0CD" w14:textId="77777777" w:rsidR="001223AA" w:rsidRPr="003A257F" w:rsidRDefault="001223AA" w:rsidP="001E6632">
            <w:pPr>
              <w:pStyle w:val="CDIFigure-Table-BodyTextCentre"/>
            </w:pPr>
            <w:r w:rsidRPr="003A257F">
              <w:t>3,545</w:t>
            </w:r>
          </w:p>
        </w:tc>
        <w:tc>
          <w:tcPr>
            <w:tcW w:w="1190" w:type="dxa"/>
            <w:tcMar>
              <w:top w:w="113" w:type="dxa"/>
              <w:left w:w="113" w:type="dxa"/>
              <w:bottom w:w="113" w:type="dxa"/>
              <w:right w:w="113" w:type="dxa"/>
            </w:tcMar>
            <w:vAlign w:val="center"/>
          </w:tcPr>
          <w:p w14:paraId="02972CF5" w14:textId="77777777" w:rsidR="001223AA" w:rsidRPr="003A257F" w:rsidRDefault="001223AA" w:rsidP="001E6632">
            <w:pPr>
              <w:pStyle w:val="CDIFigure-Table-BodyTextCentre"/>
            </w:pPr>
            <w:r w:rsidRPr="003A257F">
              <w:t>2,894</w:t>
            </w:r>
          </w:p>
        </w:tc>
        <w:tc>
          <w:tcPr>
            <w:tcW w:w="1191" w:type="dxa"/>
            <w:tcMar>
              <w:top w:w="113" w:type="dxa"/>
              <w:left w:w="113" w:type="dxa"/>
              <w:bottom w:w="113" w:type="dxa"/>
              <w:right w:w="113" w:type="dxa"/>
            </w:tcMar>
            <w:vAlign w:val="center"/>
          </w:tcPr>
          <w:p w14:paraId="7CA4565E" w14:textId="77777777" w:rsidR="001223AA" w:rsidRPr="003A257F" w:rsidRDefault="001223AA" w:rsidP="001E6632">
            <w:pPr>
              <w:pStyle w:val="CDIFigure-Table-BodyTextCentre"/>
            </w:pPr>
            <w:r w:rsidRPr="003A257F">
              <w:t>1,990</w:t>
            </w:r>
          </w:p>
        </w:tc>
        <w:tc>
          <w:tcPr>
            <w:tcW w:w="1190" w:type="dxa"/>
            <w:tcMar>
              <w:top w:w="113" w:type="dxa"/>
              <w:left w:w="113" w:type="dxa"/>
              <w:bottom w:w="113" w:type="dxa"/>
              <w:right w:w="113" w:type="dxa"/>
            </w:tcMar>
            <w:vAlign w:val="center"/>
          </w:tcPr>
          <w:p w14:paraId="47924A2A" w14:textId="77777777" w:rsidR="001223AA" w:rsidRPr="003A257F" w:rsidRDefault="001223AA" w:rsidP="001E6632">
            <w:pPr>
              <w:pStyle w:val="CDIFigure-Table-BodyTextCentre"/>
            </w:pPr>
            <w:r w:rsidRPr="003A257F">
              <w:t>-35%</w:t>
            </w:r>
          </w:p>
        </w:tc>
        <w:tc>
          <w:tcPr>
            <w:tcW w:w="1191" w:type="dxa"/>
            <w:tcMar>
              <w:top w:w="113" w:type="dxa"/>
              <w:left w:w="113" w:type="dxa"/>
              <w:bottom w:w="113" w:type="dxa"/>
              <w:right w:w="113" w:type="dxa"/>
            </w:tcMar>
            <w:vAlign w:val="center"/>
          </w:tcPr>
          <w:p w14:paraId="5233FAF5" w14:textId="77777777" w:rsidR="001223AA" w:rsidRPr="003A257F" w:rsidRDefault="001223AA" w:rsidP="001E6632">
            <w:pPr>
              <w:pStyle w:val="CDIFigure-Table-BodyTextCentre"/>
            </w:pPr>
            <w:r w:rsidRPr="003A257F">
              <w:t>-18%</w:t>
            </w:r>
          </w:p>
        </w:tc>
        <w:tc>
          <w:tcPr>
            <w:tcW w:w="1190" w:type="dxa"/>
            <w:tcMar>
              <w:top w:w="113" w:type="dxa"/>
              <w:left w:w="113" w:type="dxa"/>
              <w:bottom w:w="113" w:type="dxa"/>
              <w:right w:w="113" w:type="dxa"/>
            </w:tcMar>
            <w:vAlign w:val="center"/>
          </w:tcPr>
          <w:p w14:paraId="2F2F70B5" w14:textId="77777777" w:rsidR="001223AA" w:rsidRPr="003A257F" w:rsidRDefault="001223AA" w:rsidP="001E6632">
            <w:pPr>
              <w:pStyle w:val="CDIFigure-Table-BodyTextCentre"/>
            </w:pPr>
            <w:r w:rsidRPr="003A257F">
              <w:t>-55%</w:t>
            </w:r>
          </w:p>
        </w:tc>
        <w:tc>
          <w:tcPr>
            <w:tcW w:w="1134" w:type="dxa"/>
            <w:tcMar>
              <w:top w:w="113" w:type="dxa"/>
              <w:left w:w="113" w:type="dxa"/>
              <w:bottom w:w="113" w:type="dxa"/>
              <w:right w:w="113" w:type="dxa"/>
            </w:tcMar>
            <w:vAlign w:val="center"/>
          </w:tcPr>
          <w:p w14:paraId="4A039237" w14:textId="77777777" w:rsidR="001223AA" w:rsidRPr="003A257F" w:rsidRDefault="001223AA" w:rsidP="001E6632">
            <w:pPr>
              <w:pStyle w:val="CDIFigure-Table-BodyTextCentre"/>
            </w:pPr>
            <w:r w:rsidRPr="003A257F">
              <w:t>-44%</w:t>
            </w:r>
          </w:p>
        </w:tc>
      </w:tr>
      <w:tr w:rsidR="001223AA" w:rsidRPr="003A257F" w14:paraId="1DDAAA6C"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4180DF55" w14:textId="77777777" w:rsidR="001223AA" w:rsidRPr="003A257F" w:rsidRDefault="001223AA" w:rsidP="003A257F"/>
        </w:tc>
        <w:tc>
          <w:tcPr>
            <w:tcW w:w="3345" w:type="dxa"/>
            <w:shd w:val="clear" w:color="auto" w:fill="F2F2F2" w:themeFill="background1" w:themeFillShade="F2"/>
            <w:tcMar>
              <w:top w:w="113" w:type="dxa"/>
              <w:left w:w="113" w:type="dxa"/>
              <w:bottom w:w="113" w:type="dxa"/>
              <w:right w:w="113" w:type="dxa"/>
            </w:tcMar>
            <w:vAlign w:val="center"/>
          </w:tcPr>
          <w:p w14:paraId="08048C4F" w14:textId="77777777" w:rsidR="001223AA" w:rsidRPr="003A257F" w:rsidRDefault="001223AA" w:rsidP="001E6632">
            <w:pPr>
              <w:pStyle w:val="CDIFigure-Table-BodyTextLeft"/>
            </w:pPr>
            <w:r w:rsidRPr="003A257F">
              <w:t>Varicella zoster (shingles)</w:t>
            </w:r>
          </w:p>
        </w:tc>
        <w:tc>
          <w:tcPr>
            <w:tcW w:w="1190" w:type="dxa"/>
            <w:shd w:val="clear" w:color="auto" w:fill="F2F2F2" w:themeFill="background1" w:themeFillShade="F2"/>
            <w:tcMar>
              <w:top w:w="113" w:type="dxa"/>
              <w:left w:w="113" w:type="dxa"/>
              <w:bottom w:w="113" w:type="dxa"/>
              <w:right w:w="113" w:type="dxa"/>
            </w:tcMar>
            <w:vAlign w:val="center"/>
          </w:tcPr>
          <w:p w14:paraId="318770AB" w14:textId="77777777" w:rsidR="001223AA" w:rsidRPr="003A257F" w:rsidRDefault="001223AA" w:rsidP="001E6632">
            <w:pPr>
              <w:pStyle w:val="CDIFigure-Table-BodyTextCentre"/>
            </w:pPr>
            <w:r w:rsidRPr="003A257F">
              <w:t>15,215</w:t>
            </w:r>
          </w:p>
        </w:tc>
        <w:tc>
          <w:tcPr>
            <w:tcW w:w="1248" w:type="dxa"/>
            <w:shd w:val="clear" w:color="auto" w:fill="F2F2F2" w:themeFill="background1" w:themeFillShade="F2"/>
            <w:tcMar>
              <w:top w:w="113" w:type="dxa"/>
              <w:left w:w="113" w:type="dxa"/>
              <w:bottom w:w="113" w:type="dxa"/>
              <w:right w:w="113" w:type="dxa"/>
            </w:tcMar>
            <w:vAlign w:val="center"/>
          </w:tcPr>
          <w:p w14:paraId="33FA0BEA" w14:textId="77777777" w:rsidR="001223AA" w:rsidRPr="003A257F" w:rsidRDefault="001223AA" w:rsidP="001E6632">
            <w:pPr>
              <w:pStyle w:val="CDIFigure-Table-BodyTextCentre"/>
            </w:pPr>
            <w:r w:rsidRPr="003A257F">
              <w:t>10,495</w:t>
            </w:r>
          </w:p>
        </w:tc>
        <w:tc>
          <w:tcPr>
            <w:tcW w:w="1190" w:type="dxa"/>
            <w:shd w:val="clear" w:color="auto" w:fill="F2F2F2" w:themeFill="background1" w:themeFillShade="F2"/>
            <w:tcMar>
              <w:top w:w="113" w:type="dxa"/>
              <w:left w:w="113" w:type="dxa"/>
              <w:bottom w:w="113" w:type="dxa"/>
              <w:right w:w="113" w:type="dxa"/>
            </w:tcMar>
            <w:vAlign w:val="center"/>
          </w:tcPr>
          <w:p w14:paraId="1AA7E7E7" w14:textId="77777777" w:rsidR="001223AA" w:rsidRPr="003A257F" w:rsidRDefault="001223AA" w:rsidP="001E6632">
            <w:pPr>
              <w:pStyle w:val="CDIFigure-Table-BodyTextCentre"/>
            </w:pPr>
            <w:r w:rsidRPr="003A257F">
              <w:t>16,088</w:t>
            </w:r>
          </w:p>
        </w:tc>
        <w:tc>
          <w:tcPr>
            <w:tcW w:w="1191" w:type="dxa"/>
            <w:shd w:val="clear" w:color="auto" w:fill="F2F2F2" w:themeFill="background1" w:themeFillShade="F2"/>
            <w:tcMar>
              <w:top w:w="113" w:type="dxa"/>
              <w:left w:w="113" w:type="dxa"/>
              <w:bottom w:w="113" w:type="dxa"/>
              <w:right w:w="113" w:type="dxa"/>
            </w:tcMar>
            <w:vAlign w:val="center"/>
          </w:tcPr>
          <w:p w14:paraId="36783EDE" w14:textId="77777777" w:rsidR="001223AA" w:rsidRPr="003A257F" w:rsidRDefault="001223AA" w:rsidP="001E6632">
            <w:pPr>
              <w:pStyle w:val="CDIFigure-Table-BodyTextCentre"/>
            </w:pPr>
            <w:r w:rsidRPr="003A257F">
              <w:t>10,628</w:t>
            </w:r>
          </w:p>
        </w:tc>
        <w:tc>
          <w:tcPr>
            <w:tcW w:w="1190" w:type="dxa"/>
            <w:shd w:val="clear" w:color="auto" w:fill="F2F2F2" w:themeFill="background1" w:themeFillShade="F2"/>
            <w:tcMar>
              <w:top w:w="113" w:type="dxa"/>
              <w:left w:w="113" w:type="dxa"/>
              <w:bottom w:w="113" w:type="dxa"/>
              <w:right w:w="113" w:type="dxa"/>
            </w:tcMar>
            <w:vAlign w:val="center"/>
          </w:tcPr>
          <w:p w14:paraId="3E109C19" w14:textId="77777777" w:rsidR="001223AA" w:rsidRPr="003A257F" w:rsidRDefault="001223AA" w:rsidP="001E6632">
            <w:pPr>
              <w:pStyle w:val="CDIFigure-Table-BodyTextCentre"/>
            </w:pPr>
            <w:r w:rsidRPr="003A257F">
              <w:t>6%</w:t>
            </w:r>
          </w:p>
        </w:tc>
        <w:tc>
          <w:tcPr>
            <w:tcW w:w="1191" w:type="dxa"/>
            <w:shd w:val="clear" w:color="auto" w:fill="F2F2F2" w:themeFill="background1" w:themeFillShade="F2"/>
            <w:tcMar>
              <w:top w:w="113" w:type="dxa"/>
              <w:left w:w="113" w:type="dxa"/>
              <w:bottom w:w="113" w:type="dxa"/>
              <w:right w:w="113" w:type="dxa"/>
            </w:tcMar>
            <w:vAlign w:val="center"/>
          </w:tcPr>
          <w:p w14:paraId="1E412F92" w14:textId="77777777" w:rsidR="001223AA" w:rsidRPr="003A257F" w:rsidRDefault="001223AA" w:rsidP="001E6632">
            <w:pPr>
              <w:pStyle w:val="CDIFigure-Table-BodyTextCentre"/>
            </w:pPr>
            <w:r w:rsidRPr="003A257F">
              <w:t>53%</w:t>
            </w:r>
          </w:p>
        </w:tc>
        <w:tc>
          <w:tcPr>
            <w:tcW w:w="1190" w:type="dxa"/>
            <w:shd w:val="clear" w:color="auto" w:fill="F2F2F2" w:themeFill="background1" w:themeFillShade="F2"/>
            <w:tcMar>
              <w:top w:w="113" w:type="dxa"/>
              <w:left w:w="113" w:type="dxa"/>
              <w:bottom w:w="113" w:type="dxa"/>
              <w:right w:w="113" w:type="dxa"/>
            </w:tcMar>
            <w:vAlign w:val="center"/>
          </w:tcPr>
          <w:p w14:paraId="45CAA844" w14:textId="77777777" w:rsidR="001223AA" w:rsidRPr="003A257F" w:rsidRDefault="001223AA" w:rsidP="001E6632">
            <w:pPr>
              <w:pStyle w:val="CDIFigure-Table-BodyTextCentre"/>
            </w:pPr>
            <w:r w:rsidRPr="003A257F">
              <w:t>-30%</w:t>
            </w:r>
          </w:p>
        </w:tc>
        <w:tc>
          <w:tcPr>
            <w:tcW w:w="1134" w:type="dxa"/>
            <w:shd w:val="clear" w:color="auto" w:fill="F2F2F2" w:themeFill="background1" w:themeFillShade="F2"/>
            <w:tcMar>
              <w:top w:w="113" w:type="dxa"/>
              <w:left w:w="113" w:type="dxa"/>
              <w:bottom w:w="113" w:type="dxa"/>
              <w:right w:w="113" w:type="dxa"/>
            </w:tcMar>
            <w:vAlign w:val="center"/>
          </w:tcPr>
          <w:p w14:paraId="0AA60356" w14:textId="77777777" w:rsidR="001223AA" w:rsidRPr="003A257F" w:rsidRDefault="001223AA" w:rsidP="001E6632">
            <w:pPr>
              <w:pStyle w:val="CDIFigure-Table-BodyTextCentre"/>
            </w:pPr>
            <w:r w:rsidRPr="003A257F">
              <w:t>1%</w:t>
            </w:r>
          </w:p>
        </w:tc>
      </w:tr>
      <w:tr w:rsidR="001223AA" w:rsidRPr="003A257F" w14:paraId="7A88CE60" w14:textId="77777777" w:rsidTr="003338BD">
        <w:trPr>
          <w:divId w:val="935526654"/>
          <w:trHeight w:val="20"/>
        </w:trPr>
        <w:tc>
          <w:tcPr>
            <w:tcW w:w="1474" w:type="dxa"/>
            <w:vMerge/>
            <w:tcBorders>
              <w:top w:val="single" w:sz="4" w:space="0" w:color="033636" w:themeColor="text2"/>
              <w:bottom w:val="single" w:sz="4" w:space="0" w:color="033636" w:themeColor="text2"/>
            </w:tcBorders>
            <w:shd w:val="clear" w:color="auto" w:fill="C5FFEF" w:themeFill="background2" w:themeFillTint="33"/>
          </w:tcPr>
          <w:p w14:paraId="68C8C334" w14:textId="77777777" w:rsidR="001223AA" w:rsidRPr="003A257F" w:rsidRDefault="001223AA" w:rsidP="003A257F"/>
        </w:tc>
        <w:tc>
          <w:tcPr>
            <w:tcW w:w="3345" w:type="dxa"/>
            <w:tcBorders>
              <w:bottom w:val="single" w:sz="4" w:space="0" w:color="033636" w:themeColor="text2"/>
            </w:tcBorders>
            <w:tcMar>
              <w:top w:w="113" w:type="dxa"/>
              <w:left w:w="113" w:type="dxa"/>
              <w:bottom w:w="113" w:type="dxa"/>
              <w:right w:w="113" w:type="dxa"/>
            </w:tcMar>
            <w:vAlign w:val="center"/>
          </w:tcPr>
          <w:p w14:paraId="78F59726" w14:textId="77777777" w:rsidR="001223AA" w:rsidRPr="003A257F" w:rsidRDefault="001223AA" w:rsidP="001E6632">
            <w:pPr>
              <w:pStyle w:val="CDIFigure-Table-BodyTextLeft"/>
            </w:pPr>
            <w:r w:rsidRPr="003A257F">
              <w:t>Varicella zoster (unspecified)</w:t>
            </w:r>
          </w:p>
        </w:tc>
        <w:tc>
          <w:tcPr>
            <w:tcW w:w="1190" w:type="dxa"/>
            <w:tcBorders>
              <w:bottom w:val="single" w:sz="4" w:space="0" w:color="033636" w:themeColor="text2"/>
            </w:tcBorders>
            <w:tcMar>
              <w:top w:w="113" w:type="dxa"/>
              <w:left w:w="113" w:type="dxa"/>
              <w:bottom w:w="113" w:type="dxa"/>
              <w:right w:w="113" w:type="dxa"/>
            </w:tcMar>
            <w:vAlign w:val="center"/>
          </w:tcPr>
          <w:p w14:paraId="00B49747" w14:textId="77777777" w:rsidR="001223AA" w:rsidRPr="003A257F" w:rsidRDefault="001223AA" w:rsidP="001E6632">
            <w:pPr>
              <w:pStyle w:val="CDIFigure-Table-BodyTextCentre"/>
            </w:pPr>
            <w:r w:rsidRPr="003A257F">
              <w:t>13,130</w:t>
            </w:r>
          </w:p>
        </w:tc>
        <w:tc>
          <w:tcPr>
            <w:tcW w:w="1248" w:type="dxa"/>
            <w:tcBorders>
              <w:bottom w:val="single" w:sz="4" w:space="0" w:color="033636" w:themeColor="text2"/>
            </w:tcBorders>
            <w:tcMar>
              <w:top w:w="113" w:type="dxa"/>
              <w:left w:w="113" w:type="dxa"/>
              <w:bottom w:w="113" w:type="dxa"/>
              <w:right w:w="113" w:type="dxa"/>
            </w:tcMar>
            <w:vAlign w:val="center"/>
          </w:tcPr>
          <w:p w14:paraId="2B1C25AF" w14:textId="77777777" w:rsidR="001223AA" w:rsidRPr="003A257F" w:rsidRDefault="001223AA" w:rsidP="001E6632">
            <w:pPr>
              <w:pStyle w:val="CDIFigure-Table-BodyTextCentre"/>
            </w:pPr>
            <w:r w:rsidRPr="003A257F">
              <w:t>14,145</w:t>
            </w:r>
          </w:p>
        </w:tc>
        <w:tc>
          <w:tcPr>
            <w:tcW w:w="1190" w:type="dxa"/>
            <w:tcBorders>
              <w:bottom w:val="single" w:sz="4" w:space="0" w:color="033636" w:themeColor="text2"/>
            </w:tcBorders>
            <w:tcMar>
              <w:top w:w="113" w:type="dxa"/>
              <w:left w:w="113" w:type="dxa"/>
              <w:bottom w:w="113" w:type="dxa"/>
              <w:right w:w="113" w:type="dxa"/>
            </w:tcMar>
            <w:vAlign w:val="center"/>
          </w:tcPr>
          <w:p w14:paraId="71DE6877" w14:textId="77777777" w:rsidR="001223AA" w:rsidRPr="003A257F" w:rsidRDefault="001223AA" w:rsidP="001E6632">
            <w:pPr>
              <w:pStyle w:val="CDIFigure-Table-BodyTextCentre"/>
            </w:pPr>
            <w:r w:rsidRPr="003A257F">
              <w:t>12,447</w:t>
            </w:r>
          </w:p>
        </w:tc>
        <w:tc>
          <w:tcPr>
            <w:tcW w:w="1191" w:type="dxa"/>
            <w:tcBorders>
              <w:bottom w:val="single" w:sz="4" w:space="0" w:color="033636" w:themeColor="text2"/>
            </w:tcBorders>
            <w:tcMar>
              <w:top w:w="113" w:type="dxa"/>
              <w:left w:w="113" w:type="dxa"/>
              <w:bottom w:w="113" w:type="dxa"/>
              <w:right w:w="113" w:type="dxa"/>
            </w:tcMar>
            <w:vAlign w:val="center"/>
          </w:tcPr>
          <w:p w14:paraId="7C5A83EB" w14:textId="77777777" w:rsidR="001223AA" w:rsidRPr="003A257F" w:rsidRDefault="001223AA" w:rsidP="001E6632">
            <w:pPr>
              <w:pStyle w:val="CDIFigure-Table-BodyTextCentre"/>
            </w:pPr>
            <w:r w:rsidRPr="003A257F">
              <w:t>20,504</w:t>
            </w:r>
          </w:p>
        </w:tc>
        <w:tc>
          <w:tcPr>
            <w:tcW w:w="1190" w:type="dxa"/>
            <w:tcBorders>
              <w:bottom w:val="single" w:sz="4" w:space="0" w:color="033636" w:themeColor="text2"/>
            </w:tcBorders>
            <w:tcMar>
              <w:top w:w="113" w:type="dxa"/>
              <w:left w:w="113" w:type="dxa"/>
              <w:bottom w:w="113" w:type="dxa"/>
              <w:right w:w="113" w:type="dxa"/>
            </w:tcMar>
            <w:vAlign w:val="center"/>
          </w:tcPr>
          <w:p w14:paraId="3783B925" w14:textId="77777777" w:rsidR="001223AA" w:rsidRPr="003A257F" w:rsidRDefault="001223AA" w:rsidP="001E6632">
            <w:pPr>
              <w:pStyle w:val="CDIFigure-Table-BodyTextCentre"/>
            </w:pPr>
            <w:r w:rsidRPr="003A257F">
              <w:t>-5%</w:t>
            </w:r>
          </w:p>
        </w:tc>
        <w:tc>
          <w:tcPr>
            <w:tcW w:w="1191" w:type="dxa"/>
            <w:tcBorders>
              <w:bottom w:val="single" w:sz="4" w:space="0" w:color="033636" w:themeColor="text2"/>
            </w:tcBorders>
            <w:tcMar>
              <w:top w:w="113" w:type="dxa"/>
              <w:left w:w="113" w:type="dxa"/>
              <w:bottom w:w="113" w:type="dxa"/>
              <w:right w:w="113" w:type="dxa"/>
            </w:tcMar>
            <w:vAlign w:val="center"/>
          </w:tcPr>
          <w:p w14:paraId="53629423" w14:textId="77777777" w:rsidR="001223AA" w:rsidRPr="003A257F" w:rsidRDefault="001223AA" w:rsidP="001E6632">
            <w:pPr>
              <w:pStyle w:val="CDIFigure-Table-BodyTextCentre"/>
            </w:pPr>
            <w:r w:rsidRPr="003A257F">
              <w:t>-12%</w:t>
            </w:r>
          </w:p>
        </w:tc>
        <w:tc>
          <w:tcPr>
            <w:tcW w:w="1190" w:type="dxa"/>
            <w:tcBorders>
              <w:bottom w:val="single" w:sz="4" w:space="0" w:color="033636" w:themeColor="text2"/>
            </w:tcBorders>
            <w:tcMar>
              <w:top w:w="113" w:type="dxa"/>
              <w:left w:w="113" w:type="dxa"/>
              <w:bottom w:w="113" w:type="dxa"/>
              <w:right w:w="113" w:type="dxa"/>
            </w:tcMar>
            <w:vAlign w:val="center"/>
          </w:tcPr>
          <w:p w14:paraId="07D9D870" w14:textId="77777777" w:rsidR="001223AA" w:rsidRPr="003A257F" w:rsidRDefault="001223AA" w:rsidP="001E6632">
            <w:pPr>
              <w:pStyle w:val="CDIFigure-Table-BodyTextCentre"/>
            </w:pPr>
            <w:r w:rsidRPr="003A257F">
              <w:t>56%</w:t>
            </w:r>
          </w:p>
        </w:tc>
        <w:tc>
          <w:tcPr>
            <w:tcW w:w="1134" w:type="dxa"/>
            <w:tcBorders>
              <w:bottom w:val="single" w:sz="4" w:space="0" w:color="033636" w:themeColor="text2"/>
            </w:tcBorders>
            <w:tcMar>
              <w:top w:w="113" w:type="dxa"/>
              <w:left w:w="113" w:type="dxa"/>
              <w:bottom w:w="113" w:type="dxa"/>
              <w:right w:w="113" w:type="dxa"/>
            </w:tcMar>
            <w:vAlign w:val="center"/>
          </w:tcPr>
          <w:p w14:paraId="4B50EC5F" w14:textId="77777777" w:rsidR="001223AA" w:rsidRPr="003A257F" w:rsidRDefault="001223AA" w:rsidP="001E6632">
            <w:pPr>
              <w:pStyle w:val="CDIFigure-Table-BodyTextCentre"/>
            </w:pPr>
            <w:r w:rsidRPr="003A257F">
              <w:t>45%</w:t>
            </w:r>
          </w:p>
        </w:tc>
      </w:tr>
      <w:tr w:rsidR="003338BD" w:rsidRPr="003A257F" w14:paraId="3885991E" w14:textId="77777777" w:rsidTr="003338BD">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DCB58BF" w14:textId="57553AEB" w:rsidR="003338BD" w:rsidRPr="003A257F" w:rsidRDefault="003338BD" w:rsidP="003338BD">
            <w:pPr>
              <w:pStyle w:val="CDIFigure-Table-BodyTextLeft"/>
            </w:pPr>
            <w:r>
              <w:t>Zoonotic diseases</w:t>
            </w:r>
          </w:p>
        </w:tc>
        <w:tc>
          <w:tcPr>
            <w:tcW w:w="33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187832" w14:textId="01A6993E" w:rsidR="003338BD" w:rsidRPr="003A257F" w:rsidRDefault="003338BD" w:rsidP="003338BD">
            <w:pPr>
              <w:pStyle w:val="CDIFigure-Table-BodyTextLeft"/>
            </w:pPr>
            <w:r w:rsidRPr="003A257F">
              <w:t>Brucellosis</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C7E3B8" w14:textId="6F5182AA" w:rsidR="003338BD" w:rsidRPr="003A257F" w:rsidRDefault="003338BD" w:rsidP="003338BD">
            <w:pPr>
              <w:pStyle w:val="CDIFigure-Table-BodyTextCentre"/>
            </w:pPr>
            <w:r w:rsidRPr="003A257F">
              <w:t>9</w:t>
            </w:r>
          </w:p>
        </w:tc>
        <w:tc>
          <w:tcPr>
            <w:tcW w:w="124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77BD3E" w14:textId="250E94DE" w:rsidR="003338BD" w:rsidRPr="003A257F" w:rsidRDefault="003338BD" w:rsidP="003338BD">
            <w:pPr>
              <w:pStyle w:val="CDIFigure-Table-BodyTextCentre"/>
            </w:pPr>
            <w:r w:rsidRPr="003A257F">
              <w:t>19</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A3E498" w14:textId="3B71D740" w:rsidR="003338BD" w:rsidRPr="003A257F" w:rsidRDefault="003338BD" w:rsidP="003338BD">
            <w:pPr>
              <w:pStyle w:val="CDIFigure-Table-BodyTextCentre"/>
            </w:pPr>
            <w:r w:rsidRPr="003A257F">
              <w:t>18</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3855270" w14:textId="195B7A7C" w:rsidR="003338BD" w:rsidRPr="003A257F" w:rsidRDefault="003338BD" w:rsidP="003338BD">
            <w:pPr>
              <w:pStyle w:val="CDIFigure-Table-BodyTextCentre"/>
            </w:pPr>
            <w:r w:rsidRPr="003A257F">
              <w:t>16</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B88DE0" w14:textId="65769E6B" w:rsidR="003338BD" w:rsidRPr="003A257F" w:rsidRDefault="003338BD" w:rsidP="003338BD">
            <w:pPr>
              <w:pStyle w:val="CDIFigure-Table-BodyTextCentre"/>
            </w:pPr>
            <w:r w:rsidRPr="003A257F">
              <w:t>100%</w:t>
            </w:r>
          </w:p>
        </w:tc>
        <w:tc>
          <w:tcPr>
            <w:tcW w:w="119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276F2B" w14:textId="12A851A1" w:rsidR="003338BD" w:rsidRPr="003A257F" w:rsidRDefault="003338BD" w:rsidP="003338BD">
            <w:pPr>
              <w:pStyle w:val="CDIFigure-Table-BodyTextCentre"/>
            </w:pPr>
            <w:r w:rsidRPr="003A257F">
              <w:t>-4%</w:t>
            </w:r>
          </w:p>
        </w:tc>
        <w:tc>
          <w:tcPr>
            <w:tcW w:w="119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E07F37" w14:textId="5E505066" w:rsidR="003338BD" w:rsidRPr="003A257F" w:rsidRDefault="003338BD" w:rsidP="003338BD">
            <w:pPr>
              <w:pStyle w:val="CDIFigure-Table-BodyTextCentre"/>
            </w:pPr>
            <w:r w:rsidRPr="003A257F">
              <w:t>78%</w:t>
            </w:r>
          </w:p>
        </w:tc>
        <w:tc>
          <w:tcPr>
            <w:tcW w:w="113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7D3C78" w14:textId="4A293AC3" w:rsidR="003338BD" w:rsidRPr="003A257F" w:rsidRDefault="003338BD" w:rsidP="003338BD">
            <w:pPr>
              <w:pStyle w:val="CDIFigure-Table-BodyTextCentre"/>
            </w:pPr>
            <w:r w:rsidRPr="003A257F">
              <w:t>-15%</w:t>
            </w:r>
          </w:p>
        </w:tc>
      </w:tr>
      <w:tr w:rsidR="003338BD" w:rsidRPr="003A257F" w14:paraId="4C0859FE" w14:textId="77777777" w:rsidTr="003338BD">
        <w:trPr>
          <w:divId w:val="935526654"/>
          <w:trHeight w:val="20"/>
        </w:trPr>
        <w:tc>
          <w:tcPr>
            <w:tcW w:w="1474" w:type="dxa"/>
            <w:vMerge/>
            <w:shd w:val="clear" w:color="auto" w:fill="C5FFEF" w:themeFill="background2" w:themeFillTint="33"/>
            <w:tcMar>
              <w:top w:w="113" w:type="dxa"/>
              <w:left w:w="113" w:type="dxa"/>
              <w:bottom w:w="113" w:type="dxa"/>
              <w:right w:w="113" w:type="dxa"/>
            </w:tcMar>
            <w:vAlign w:val="center"/>
          </w:tcPr>
          <w:p w14:paraId="0DA12095" w14:textId="77777777" w:rsidR="003338BD" w:rsidRPr="003A257F" w:rsidRDefault="003338BD" w:rsidP="003338BD">
            <w:pPr>
              <w:pStyle w:val="CDIFigure-Table-BodyTextLeft"/>
            </w:pPr>
          </w:p>
        </w:tc>
        <w:tc>
          <w:tcPr>
            <w:tcW w:w="3345" w:type="dxa"/>
            <w:shd w:val="clear" w:color="auto" w:fill="FFFFFF" w:themeFill="background1"/>
            <w:tcMar>
              <w:top w:w="113" w:type="dxa"/>
              <w:left w:w="113" w:type="dxa"/>
              <w:bottom w:w="113" w:type="dxa"/>
              <w:right w:w="113" w:type="dxa"/>
            </w:tcMar>
            <w:vAlign w:val="center"/>
          </w:tcPr>
          <w:p w14:paraId="796BAFC5" w14:textId="2AC01F49" w:rsidR="003338BD" w:rsidRPr="003A257F" w:rsidRDefault="003338BD" w:rsidP="003338BD">
            <w:pPr>
              <w:pStyle w:val="CDIFigure-Table-BodyTextLeft"/>
            </w:pPr>
            <w:r w:rsidRPr="003A257F">
              <w:t>Creutzfeld-Jakob disease</w:t>
            </w:r>
          </w:p>
        </w:tc>
        <w:tc>
          <w:tcPr>
            <w:tcW w:w="1190" w:type="dxa"/>
            <w:shd w:val="clear" w:color="auto" w:fill="FFFFFF" w:themeFill="background1"/>
            <w:tcMar>
              <w:top w:w="113" w:type="dxa"/>
              <w:left w:w="113" w:type="dxa"/>
              <w:bottom w:w="113" w:type="dxa"/>
              <w:right w:w="113" w:type="dxa"/>
            </w:tcMar>
            <w:vAlign w:val="center"/>
          </w:tcPr>
          <w:p w14:paraId="334308E3" w14:textId="277D0232" w:rsidR="003338BD" w:rsidRPr="003A257F" w:rsidRDefault="003338BD" w:rsidP="003338BD">
            <w:pPr>
              <w:pStyle w:val="CDIFigure-Table-BodyTextCentre"/>
            </w:pPr>
            <w:r w:rsidRPr="003A257F">
              <w:t>41</w:t>
            </w:r>
          </w:p>
        </w:tc>
        <w:tc>
          <w:tcPr>
            <w:tcW w:w="1248" w:type="dxa"/>
            <w:shd w:val="clear" w:color="auto" w:fill="FFFFFF" w:themeFill="background1"/>
            <w:tcMar>
              <w:top w:w="113" w:type="dxa"/>
              <w:left w:w="113" w:type="dxa"/>
              <w:bottom w:w="113" w:type="dxa"/>
              <w:right w:w="113" w:type="dxa"/>
            </w:tcMar>
            <w:vAlign w:val="center"/>
          </w:tcPr>
          <w:p w14:paraId="2DB8AABB" w14:textId="01CA075E" w:rsidR="003338BD" w:rsidRPr="003A257F" w:rsidRDefault="003338BD" w:rsidP="003338BD">
            <w:pPr>
              <w:pStyle w:val="CDIFigure-Table-BodyTextCentre"/>
            </w:pPr>
            <w:r w:rsidRPr="003A257F">
              <w:t>40</w:t>
            </w:r>
          </w:p>
        </w:tc>
        <w:tc>
          <w:tcPr>
            <w:tcW w:w="1190" w:type="dxa"/>
            <w:shd w:val="clear" w:color="auto" w:fill="FFFFFF" w:themeFill="background1"/>
            <w:tcMar>
              <w:top w:w="113" w:type="dxa"/>
              <w:left w:w="113" w:type="dxa"/>
              <w:bottom w:w="113" w:type="dxa"/>
              <w:right w:w="113" w:type="dxa"/>
            </w:tcMar>
            <w:vAlign w:val="center"/>
          </w:tcPr>
          <w:p w14:paraId="207A9F9A" w14:textId="3E895466" w:rsidR="003338BD" w:rsidRPr="003A257F" w:rsidRDefault="003338BD" w:rsidP="003338BD">
            <w:pPr>
              <w:pStyle w:val="CDIFigure-Table-BodyTextCentre"/>
            </w:pPr>
            <w:r w:rsidRPr="003A257F">
              <w:t>31</w:t>
            </w:r>
          </w:p>
        </w:tc>
        <w:tc>
          <w:tcPr>
            <w:tcW w:w="1191" w:type="dxa"/>
            <w:shd w:val="clear" w:color="auto" w:fill="FFFFFF" w:themeFill="background1"/>
            <w:tcMar>
              <w:top w:w="113" w:type="dxa"/>
              <w:left w:w="113" w:type="dxa"/>
              <w:bottom w:w="113" w:type="dxa"/>
              <w:right w:w="113" w:type="dxa"/>
            </w:tcMar>
            <w:vAlign w:val="center"/>
          </w:tcPr>
          <w:p w14:paraId="1B499E5B" w14:textId="3577B030" w:rsidR="003338BD" w:rsidRPr="003A257F" w:rsidRDefault="003338BD" w:rsidP="003338BD">
            <w:pPr>
              <w:pStyle w:val="CDIFigure-Table-BodyTextCentre"/>
            </w:pPr>
            <w:r w:rsidRPr="003A257F">
              <w:t>25</w:t>
            </w:r>
          </w:p>
        </w:tc>
        <w:tc>
          <w:tcPr>
            <w:tcW w:w="1190" w:type="dxa"/>
            <w:shd w:val="clear" w:color="auto" w:fill="FFFFFF" w:themeFill="background1"/>
            <w:tcMar>
              <w:top w:w="113" w:type="dxa"/>
              <w:left w:w="113" w:type="dxa"/>
              <w:bottom w:w="113" w:type="dxa"/>
              <w:right w:w="113" w:type="dxa"/>
            </w:tcMar>
            <w:vAlign w:val="center"/>
          </w:tcPr>
          <w:p w14:paraId="724CC081" w14:textId="4BAEF7D4" w:rsidR="003338BD" w:rsidRPr="003A257F" w:rsidRDefault="003338BD" w:rsidP="003338BD">
            <w:pPr>
              <w:pStyle w:val="CDIFigure-Table-BodyTextCentre"/>
            </w:pPr>
            <w:r w:rsidRPr="003A257F">
              <w:t>-24%</w:t>
            </w:r>
          </w:p>
        </w:tc>
        <w:tc>
          <w:tcPr>
            <w:tcW w:w="1191" w:type="dxa"/>
            <w:shd w:val="clear" w:color="auto" w:fill="FFFFFF" w:themeFill="background1"/>
            <w:tcMar>
              <w:top w:w="113" w:type="dxa"/>
              <w:left w:w="113" w:type="dxa"/>
              <w:bottom w:w="113" w:type="dxa"/>
              <w:right w:w="113" w:type="dxa"/>
            </w:tcMar>
            <w:vAlign w:val="center"/>
          </w:tcPr>
          <w:p w14:paraId="0581FE97" w14:textId="12666A6B" w:rsidR="003338BD" w:rsidRPr="003A257F" w:rsidRDefault="003338BD" w:rsidP="003338BD">
            <w:pPr>
              <w:pStyle w:val="CDIFigure-Table-BodyTextCentre"/>
            </w:pPr>
            <w:r w:rsidRPr="003A257F">
              <w:t>-22%</w:t>
            </w:r>
          </w:p>
        </w:tc>
        <w:tc>
          <w:tcPr>
            <w:tcW w:w="1190" w:type="dxa"/>
            <w:shd w:val="clear" w:color="auto" w:fill="FFFFFF" w:themeFill="background1"/>
            <w:tcMar>
              <w:top w:w="113" w:type="dxa"/>
              <w:left w:w="113" w:type="dxa"/>
              <w:bottom w:w="113" w:type="dxa"/>
              <w:right w:w="113" w:type="dxa"/>
            </w:tcMar>
            <w:vAlign w:val="center"/>
          </w:tcPr>
          <w:p w14:paraId="6710A5B8" w14:textId="7E0D3BA5" w:rsidR="003338BD" w:rsidRPr="003A257F" w:rsidRDefault="003338BD" w:rsidP="003338BD">
            <w:pPr>
              <w:pStyle w:val="CDIFigure-Table-BodyTextCentre"/>
            </w:pPr>
            <w:r w:rsidRPr="003A257F">
              <w:t>-39%</w:t>
            </w:r>
          </w:p>
        </w:tc>
        <w:tc>
          <w:tcPr>
            <w:tcW w:w="1134" w:type="dxa"/>
            <w:shd w:val="clear" w:color="auto" w:fill="FFFFFF" w:themeFill="background1"/>
            <w:tcMar>
              <w:top w:w="113" w:type="dxa"/>
              <w:left w:w="113" w:type="dxa"/>
              <w:bottom w:w="113" w:type="dxa"/>
              <w:right w:w="113" w:type="dxa"/>
            </w:tcMar>
            <w:vAlign w:val="center"/>
          </w:tcPr>
          <w:p w14:paraId="04B26CE6" w14:textId="5CB632A8" w:rsidR="003338BD" w:rsidRPr="003A257F" w:rsidRDefault="003338BD" w:rsidP="003338BD">
            <w:pPr>
              <w:pStyle w:val="CDIFigure-Table-BodyTextCentre"/>
            </w:pPr>
            <w:r w:rsidRPr="003A257F">
              <w:t>-37%</w:t>
            </w:r>
          </w:p>
        </w:tc>
      </w:tr>
      <w:tr w:rsidR="003338BD" w:rsidRPr="003A257F" w14:paraId="2A7A45E8" w14:textId="77777777" w:rsidTr="003338BD">
        <w:trPr>
          <w:divId w:val="935526654"/>
          <w:trHeight w:val="20"/>
        </w:trPr>
        <w:tc>
          <w:tcPr>
            <w:tcW w:w="1474" w:type="dxa"/>
            <w:vMerge/>
            <w:shd w:val="clear" w:color="auto" w:fill="C5FFEF" w:themeFill="background2" w:themeFillTint="33"/>
            <w:tcMar>
              <w:top w:w="113" w:type="dxa"/>
              <w:left w:w="113" w:type="dxa"/>
              <w:bottom w:w="113" w:type="dxa"/>
              <w:right w:w="113" w:type="dxa"/>
            </w:tcMar>
            <w:vAlign w:val="center"/>
          </w:tcPr>
          <w:p w14:paraId="5964708F" w14:textId="77777777" w:rsidR="003338BD" w:rsidRPr="003A257F" w:rsidRDefault="003338BD" w:rsidP="003338BD">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7D3EFA1C" w14:textId="54C251D6" w:rsidR="003338BD" w:rsidRPr="003A257F" w:rsidRDefault="003338BD" w:rsidP="003338BD">
            <w:pPr>
              <w:pStyle w:val="CDIFigure-Table-BodyTextLeft"/>
            </w:pPr>
            <w:r w:rsidRPr="003A257F">
              <w:t>Leptospirosis</w:t>
            </w:r>
          </w:p>
        </w:tc>
        <w:tc>
          <w:tcPr>
            <w:tcW w:w="1190" w:type="dxa"/>
            <w:shd w:val="clear" w:color="auto" w:fill="F2F2F2" w:themeFill="background1" w:themeFillShade="F2"/>
            <w:tcMar>
              <w:top w:w="113" w:type="dxa"/>
              <w:left w:w="113" w:type="dxa"/>
              <w:bottom w:w="113" w:type="dxa"/>
              <w:right w:w="113" w:type="dxa"/>
            </w:tcMar>
            <w:vAlign w:val="center"/>
          </w:tcPr>
          <w:p w14:paraId="740DEE0B" w14:textId="3DCA73C8" w:rsidR="003338BD" w:rsidRPr="003A257F" w:rsidRDefault="003338BD" w:rsidP="003338BD">
            <w:pPr>
              <w:pStyle w:val="CDIFigure-Table-BodyTextCentre"/>
            </w:pPr>
            <w:r w:rsidRPr="003A257F">
              <w:t>82</w:t>
            </w:r>
          </w:p>
        </w:tc>
        <w:tc>
          <w:tcPr>
            <w:tcW w:w="1248" w:type="dxa"/>
            <w:shd w:val="clear" w:color="auto" w:fill="F2F2F2" w:themeFill="background1" w:themeFillShade="F2"/>
            <w:tcMar>
              <w:top w:w="113" w:type="dxa"/>
              <w:left w:w="113" w:type="dxa"/>
              <w:bottom w:w="113" w:type="dxa"/>
              <w:right w:w="113" w:type="dxa"/>
            </w:tcMar>
            <w:vAlign w:val="center"/>
          </w:tcPr>
          <w:p w14:paraId="55720F29" w14:textId="1AC88EDC" w:rsidR="003338BD" w:rsidRPr="003A257F" w:rsidRDefault="003338BD" w:rsidP="003338BD">
            <w:pPr>
              <w:pStyle w:val="CDIFigure-Table-BodyTextCentre"/>
            </w:pPr>
            <w:r w:rsidRPr="003A257F">
              <w:t>114</w:t>
            </w:r>
          </w:p>
        </w:tc>
        <w:tc>
          <w:tcPr>
            <w:tcW w:w="1190" w:type="dxa"/>
            <w:shd w:val="clear" w:color="auto" w:fill="F2F2F2" w:themeFill="background1" w:themeFillShade="F2"/>
            <w:tcMar>
              <w:top w:w="113" w:type="dxa"/>
              <w:left w:w="113" w:type="dxa"/>
              <w:bottom w:w="113" w:type="dxa"/>
              <w:right w:w="113" w:type="dxa"/>
            </w:tcMar>
            <w:vAlign w:val="center"/>
          </w:tcPr>
          <w:p w14:paraId="13BC78C8" w14:textId="1B1D412D" w:rsidR="003338BD" w:rsidRPr="003A257F" w:rsidRDefault="003338BD" w:rsidP="003338BD">
            <w:pPr>
              <w:pStyle w:val="CDIFigure-Table-BodyTextCentre"/>
            </w:pPr>
            <w:r w:rsidRPr="003A257F">
              <w:t>97</w:t>
            </w:r>
          </w:p>
        </w:tc>
        <w:tc>
          <w:tcPr>
            <w:tcW w:w="1191" w:type="dxa"/>
            <w:shd w:val="clear" w:color="auto" w:fill="F2F2F2" w:themeFill="background1" w:themeFillShade="F2"/>
            <w:tcMar>
              <w:top w:w="113" w:type="dxa"/>
              <w:left w:w="113" w:type="dxa"/>
              <w:bottom w:w="113" w:type="dxa"/>
              <w:right w:w="113" w:type="dxa"/>
            </w:tcMar>
            <w:vAlign w:val="center"/>
          </w:tcPr>
          <w:p w14:paraId="40723ED0" w14:textId="4C5A181D" w:rsidR="003338BD" w:rsidRPr="003A257F" w:rsidRDefault="003338BD" w:rsidP="003338BD">
            <w:pPr>
              <w:pStyle w:val="CDIFigure-Table-BodyTextCentre"/>
            </w:pPr>
            <w:r w:rsidRPr="003A257F">
              <w:t>247</w:t>
            </w:r>
          </w:p>
        </w:tc>
        <w:tc>
          <w:tcPr>
            <w:tcW w:w="1190" w:type="dxa"/>
            <w:shd w:val="clear" w:color="auto" w:fill="F2F2F2" w:themeFill="background1" w:themeFillShade="F2"/>
            <w:tcMar>
              <w:top w:w="113" w:type="dxa"/>
              <w:left w:w="113" w:type="dxa"/>
              <w:bottom w:w="113" w:type="dxa"/>
              <w:right w:w="113" w:type="dxa"/>
            </w:tcMar>
            <w:vAlign w:val="center"/>
          </w:tcPr>
          <w:p w14:paraId="79E08734" w14:textId="375BF64A" w:rsidR="003338BD" w:rsidRPr="003A257F" w:rsidRDefault="003338BD" w:rsidP="003338BD">
            <w:pPr>
              <w:pStyle w:val="CDIFigure-Table-BodyTextCentre"/>
            </w:pPr>
            <w:r w:rsidRPr="003A257F">
              <w:t>18%</w:t>
            </w:r>
          </w:p>
        </w:tc>
        <w:tc>
          <w:tcPr>
            <w:tcW w:w="1191" w:type="dxa"/>
            <w:shd w:val="clear" w:color="auto" w:fill="F2F2F2" w:themeFill="background1" w:themeFillShade="F2"/>
            <w:tcMar>
              <w:top w:w="113" w:type="dxa"/>
              <w:left w:w="113" w:type="dxa"/>
              <w:bottom w:w="113" w:type="dxa"/>
              <w:right w:w="113" w:type="dxa"/>
            </w:tcMar>
            <w:vAlign w:val="center"/>
          </w:tcPr>
          <w:p w14:paraId="35AFC755" w14:textId="5E0441FC" w:rsidR="003338BD" w:rsidRPr="003A257F" w:rsidRDefault="003338BD" w:rsidP="003338BD">
            <w:pPr>
              <w:pStyle w:val="CDIFigure-Table-BodyTextCentre"/>
            </w:pPr>
            <w:r w:rsidRPr="003A257F">
              <w:t>-15%</w:t>
            </w:r>
          </w:p>
        </w:tc>
        <w:tc>
          <w:tcPr>
            <w:tcW w:w="1190" w:type="dxa"/>
            <w:shd w:val="clear" w:color="auto" w:fill="F2F2F2" w:themeFill="background1" w:themeFillShade="F2"/>
            <w:tcMar>
              <w:top w:w="113" w:type="dxa"/>
              <w:left w:w="113" w:type="dxa"/>
              <w:bottom w:w="113" w:type="dxa"/>
              <w:right w:w="113" w:type="dxa"/>
            </w:tcMar>
            <w:vAlign w:val="center"/>
          </w:tcPr>
          <w:p w14:paraId="337EE205" w14:textId="646436DD" w:rsidR="003338BD" w:rsidRPr="003A257F" w:rsidRDefault="003338BD" w:rsidP="003338BD">
            <w:pPr>
              <w:pStyle w:val="CDIFigure-Table-BodyTextCentre"/>
            </w:pPr>
            <w:r w:rsidRPr="003A257F">
              <w:t>201%</w:t>
            </w:r>
          </w:p>
        </w:tc>
        <w:tc>
          <w:tcPr>
            <w:tcW w:w="1134" w:type="dxa"/>
            <w:shd w:val="clear" w:color="auto" w:fill="F2F2F2" w:themeFill="background1" w:themeFillShade="F2"/>
            <w:tcMar>
              <w:top w:w="113" w:type="dxa"/>
              <w:left w:w="113" w:type="dxa"/>
              <w:bottom w:w="113" w:type="dxa"/>
              <w:right w:w="113" w:type="dxa"/>
            </w:tcMar>
            <w:vAlign w:val="center"/>
          </w:tcPr>
          <w:p w14:paraId="25B1A100" w14:textId="73999FB6" w:rsidR="003338BD" w:rsidRPr="003A257F" w:rsidRDefault="003338BD" w:rsidP="003338BD">
            <w:pPr>
              <w:pStyle w:val="CDIFigure-Table-BodyTextCentre"/>
            </w:pPr>
            <w:r w:rsidRPr="003A257F">
              <w:t>116%</w:t>
            </w:r>
          </w:p>
        </w:tc>
      </w:tr>
      <w:tr w:rsidR="003338BD" w:rsidRPr="003A257F" w14:paraId="13FFCED5" w14:textId="77777777" w:rsidTr="003338BD">
        <w:trPr>
          <w:divId w:val="935526654"/>
          <w:trHeight w:val="20"/>
        </w:trPr>
        <w:tc>
          <w:tcPr>
            <w:tcW w:w="1474" w:type="dxa"/>
            <w:vMerge/>
            <w:shd w:val="clear" w:color="auto" w:fill="C5FFEF" w:themeFill="background2" w:themeFillTint="33"/>
            <w:tcMar>
              <w:top w:w="113" w:type="dxa"/>
              <w:left w:w="113" w:type="dxa"/>
              <w:bottom w:w="113" w:type="dxa"/>
              <w:right w:w="113" w:type="dxa"/>
            </w:tcMar>
            <w:vAlign w:val="center"/>
          </w:tcPr>
          <w:p w14:paraId="5B97584F" w14:textId="77777777" w:rsidR="003338BD" w:rsidRPr="003A257F" w:rsidRDefault="003338BD" w:rsidP="003338BD">
            <w:pPr>
              <w:pStyle w:val="CDIFigure-Table-BodyTextLeft"/>
            </w:pPr>
          </w:p>
        </w:tc>
        <w:tc>
          <w:tcPr>
            <w:tcW w:w="3345" w:type="dxa"/>
            <w:shd w:val="clear" w:color="auto" w:fill="FFFFFF" w:themeFill="background1"/>
            <w:tcMar>
              <w:top w:w="113" w:type="dxa"/>
              <w:left w:w="113" w:type="dxa"/>
              <w:bottom w:w="113" w:type="dxa"/>
              <w:right w:w="113" w:type="dxa"/>
            </w:tcMar>
            <w:vAlign w:val="center"/>
          </w:tcPr>
          <w:p w14:paraId="5823B92C" w14:textId="67910ABE" w:rsidR="003338BD" w:rsidRPr="003A257F" w:rsidRDefault="003338BD" w:rsidP="003338BD">
            <w:pPr>
              <w:pStyle w:val="CDIFigure-Table-BodyTextLeft"/>
            </w:pPr>
            <w:r w:rsidRPr="003A257F">
              <w:t>Pscittacosis</w:t>
            </w:r>
          </w:p>
        </w:tc>
        <w:tc>
          <w:tcPr>
            <w:tcW w:w="1190" w:type="dxa"/>
            <w:shd w:val="clear" w:color="auto" w:fill="FFFFFF" w:themeFill="background1"/>
            <w:tcMar>
              <w:top w:w="113" w:type="dxa"/>
              <w:left w:w="113" w:type="dxa"/>
              <w:bottom w:w="113" w:type="dxa"/>
              <w:right w:w="113" w:type="dxa"/>
            </w:tcMar>
            <w:vAlign w:val="center"/>
          </w:tcPr>
          <w:p w14:paraId="6D83AB18" w14:textId="4255FE27" w:rsidR="003338BD" w:rsidRPr="003A257F" w:rsidRDefault="003338BD" w:rsidP="003338BD">
            <w:pPr>
              <w:pStyle w:val="CDIFigure-Table-BodyTextCentre"/>
            </w:pPr>
            <w:r w:rsidRPr="003A257F">
              <w:t>23</w:t>
            </w:r>
          </w:p>
        </w:tc>
        <w:tc>
          <w:tcPr>
            <w:tcW w:w="1248" w:type="dxa"/>
            <w:shd w:val="clear" w:color="auto" w:fill="FFFFFF" w:themeFill="background1"/>
            <w:tcMar>
              <w:top w:w="113" w:type="dxa"/>
              <w:left w:w="113" w:type="dxa"/>
              <w:bottom w:w="113" w:type="dxa"/>
              <w:right w:w="113" w:type="dxa"/>
            </w:tcMar>
            <w:vAlign w:val="center"/>
          </w:tcPr>
          <w:p w14:paraId="6F4796F3" w14:textId="780403EB" w:rsidR="003338BD" w:rsidRPr="003A257F" w:rsidRDefault="003338BD" w:rsidP="003338BD">
            <w:pPr>
              <w:pStyle w:val="CDIFigure-Table-BodyTextCentre"/>
            </w:pPr>
            <w:r w:rsidRPr="003A257F">
              <w:t>19</w:t>
            </w:r>
          </w:p>
        </w:tc>
        <w:tc>
          <w:tcPr>
            <w:tcW w:w="1190" w:type="dxa"/>
            <w:shd w:val="clear" w:color="auto" w:fill="FFFFFF" w:themeFill="background1"/>
            <w:tcMar>
              <w:top w:w="113" w:type="dxa"/>
              <w:left w:w="113" w:type="dxa"/>
              <w:bottom w:w="113" w:type="dxa"/>
              <w:right w:w="113" w:type="dxa"/>
            </w:tcMar>
            <w:vAlign w:val="center"/>
          </w:tcPr>
          <w:p w14:paraId="2876E363" w14:textId="4D1741D6" w:rsidR="003338BD" w:rsidRPr="003A257F" w:rsidRDefault="003338BD" w:rsidP="003338BD">
            <w:pPr>
              <w:pStyle w:val="CDIFigure-Table-BodyTextCentre"/>
            </w:pPr>
            <w:r w:rsidRPr="003A257F">
              <w:t>64</w:t>
            </w:r>
          </w:p>
        </w:tc>
        <w:tc>
          <w:tcPr>
            <w:tcW w:w="1191" w:type="dxa"/>
            <w:shd w:val="clear" w:color="auto" w:fill="FFFFFF" w:themeFill="background1"/>
            <w:tcMar>
              <w:top w:w="113" w:type="dxa"/>
              <w:left w:w="113" w:type="dxa"/>
              <w:bottom w:w="113" w:type="dxa"/>
              <w:right w:w="113" w:type="dxa"/>
            </w:tcMar>
            <w:vAlign w:val="center"/>
          </w:tcPr>
          <w:p w14:paraId="73FE1139" w14:textId="10458523" w:rsidR="003338BD" w:rsidRPr="003A257F" w:rsidRDefault="003338BD" w:rsidP="003338BD">
            <w:pPr>
              <w:pStyle w:val="CDIFigure-Table-BodyTextCentre"/>
            </w:pPr>
            <w:r w:rsidRPr="003A257F">
              <w:t>35</w:t>
            </w:r>
          </w:p>
        </w:tc>
        <w:tc>
          <w:tcPr>
            <w:tcW w:w="1190" w:type="dxa"/>
            <w:shd w:val="clear" w:color="auto" w:fill="FFFFFF" w:themeFill="background1"/>
            <w:tcMar>
              <w:top w:w="113" w:type="dxa"/>
              <w:left w:w="113" w:type="dxa"/>
              <w:bottom w:w="113" w:type="dxa"/>
              <w:right w:w="113" w:type="dxa"/>
            </w:tcMar>
            <w:vAlign w:val="center"/>
          </w:tcPr>
          <w:p w14:paraId="74E7A3C0" w14:textId="561153C0" w:rsidR="003338BD" w:rsidRPr="003A257F" w:rsidRDefault="003338BD" w:rsidP="003338BD">
            <w:pPr>
              <w:pStyle w:val="CDIFigure-Table-BodyTextCentre"/>
            </w:pPr>
            <w:r w:rsidRPr="003A257F">
              <w:t>178%</w:t>
            </w:r>
          </w:p>
        </w:tc>
        <w:tc>
          <w:tcPr>
            <w:tcW w:w="1191" w:type="dxa"/>
            <w:shd w:val="clear" w:color="auto" w:fill="FFFFFF" w:themeFill="background1"/>
            <w:tcMar>
              <w:top w:w="113" w:type="dxa"/>
              <w:left w:w="113" w:type="dxa"/>
              <w:bottom w:w="113" w:type="dxa"/>
              <w:right w:w="113" w:type="dxa"/>
            </w:tcMar>
            <w:vAlign w:val="center"/>
          </w:tcPr>
          <w:p w14:paraId="7581FA40" w14:textId="71C6C3E4" w:rsidR="003338BD" w:rsidRPr="003A257F" w:rsidRDefault="003338BD" w:rsidP="003338BD">
            <w:pPr>
              <w:pStyle w:val="CDIFigure-Table-BodyTextCentre"/>
            </w:pPr>
            <w:r w:rsidRPr="003A257F">
              <w:t>244%</w:t>
            </w:r>
          </w:p>
        </w:tc>
        <w:tc>
          <w:tcPr>
            <w:tcW w:w="1190" w:type="dxa"/>
            <w:shd w:val="clear" w:color="auto" w:fill="FFFFFF" w:themeFill="background1"/>
            <w:tcMar>
              <w:top w:w="113" w:type="dxa"/>
              <w:left w:w="113" w:type="dxa"/>
              <w:bottom w:w="113" w:type="dxa"/>
              <w:right w:w="113" w:type="dxa"/>
            </w:tcMar>
            <w:vAlign w:val="center"/>
          </w:tcPr>
          <w:p w14:paraId="166A730C" w14:textId="7155E52E" w:rsidR="003338BD" w:rsidRPr="003A257F" w:rsidRDefault="003338BD" w:rsidP="003338BD">
            <w:pPr>
              <w:pStyle w:val="CDIFigure-Table-BodyTextCentre"/>
            </w:pPr>
            <w:r w:rsidRPr="003A257F">
              <w:t>52%</w:t>
            </w:r>
          </w:p>
        </w:tc>
        <w:tc>
          <w:tcPr>
            <w:tcW w:w="1134" w:type="dxa"/>
            <w:shd w:val="clear" w:color="auto" w:fill="FFFFFF" w:themeFill="background1"/>
            <w:tcMar>
              <w:top w:w="113" w:type="dxa"/>
              <w:left w:w="113" w:type="dxa"/>
              <w:bottom w:w="113" w:type="dxa"/>
              <w:right w:w="113" w:type="dxa"/>
            </w:tcMar>
            <w:vAlign w:val="center"/>
          </w:tcPr>
          <w:p w14:paraId="0CCC4856" w14:textId="07461086" w:rsidR="003338BD" w:rsidRPr="003A257F" w:rsidRDefault="003338BD" w:rsidP="003338BD">
            <w:pPr>
              <w:pStyle w:val="CDIFigure-Table-BodyTextCentre"/>
            </w:pPr>
            <w:r w:rsidRPr="003A257F">
              <w:t>88%</w:t>
            </w:r>
          </w:p>
        </w:tc>
      </w:tr>
      <w:tr w:rsidR="001E6632" w:rsidRPr="003A257F" w14:paraId="720C099E" w14:textId="77777777" w:rsidTr="003338BD">
        <w:trPr>
          <w:divId w:val="935526654"/>
          <w:trHeight w:val="20"/>
        </w:trPr>
        <w:tc>
          <w:tcPr>
            <w:tcW w:w="1474" w:type="dxa"/>
            <w:vMerge w:val="restart"/>
            <w:tcBorders>
              <w:bottom w:val="single" w:sz="4" w:space="0" w:color="033636" w:themeColor="text2"/>
            </w:tcBorders>
            <w:shd w:val="clear" w:color="auto" w:fill="C5FFEF" w:themeFill="background2" w:themeFillTint="33"/>
          </w:tcPr>
          <w:p w14:paraId="64DBEB70" w14:textId="77777777" w:rsidR="003A257F" w:rsidRPr="003A257F" w:rsidRDefault="003A257F" w:rsidP="003338BD">
            <w:pPr>
              <w:pStyle w:val="CDIFigure-Table-BodyTextLeft"/>
            </w:pPr>
          </w:p>
        </w:tc>
        <w:tc>
          <w:tcPr>
            <w:tcW w:w="3345" w:type="dxa"/>
            <w:shd w:val="clear" w:color="auto" w:fill="F2F2F2" w:themeFill="background1" w:themeFillShade="F2"/>
            <w:tcMar>
              <w:top w:w="113" w:type="dxa"/>
              <w:left w:w="113" w:type="dxa"/>
              <w:bottom w:w="113" w:type="dxa"/>
              <w:right w:w="113" w:type="dxa"/>
            </w:tcMar>
            <w:vAlign w:val="center"/>
          </w:tcPr>
          <w:p w14:paraId="63E42723" w14:textId="77777777" w:rsidR="003A257F" w:rsidRPr="003A257F" w:rsidRDefault="003A257F" w:rsidP="001E6632">
            <w:pPr>
              <w:pStyle w:val="CDIFigure-Table-BodyTextLeft"/>
            </w:pPr>
            <w:r w:rsidRPr="003A257F">
              <w:t>Q fever</w:t>
            </w:r>
          </w:p>
        </w:tc>
        <w:tc>
          <w:tcPr>
            <w:tcW w:w="1190" w:type="dxa"/>
            <w:shd w:val="clear" w:color="auto" w:fill="F2F2F2" w:themeFill="background1" w:themeFillShade="F2"/>
            <w:tcMar>
              <w:top w:w="113" w:type="dxa"/>
              <w:left w:w="113" w:type="dxa"/>
              <w:bottom w:w="113" w:type="dxa"/>
              <w:right w:w="113" w:type="dxa"/>
            </w:tcMar>
            <w:vAlign w:val="center"/>
          </w:tcPr>
          <w:p w14:paraId="42BE68CB" w14:textId="77777777" w:rsidR="003A257F" w:rsidRPr="003A257F" w:rsidRDefault="003A257F" w:rsidP="001E6632">
            <w:pPr>
              <w:pStyle w:val="CDIFigure-Table-BodyTextCentre"/>
            </w:pPr>
            <w:r w:rsidRPr="003A257F">
              <w:t>567</w:t>
            </w:r>
          </w:p>
        </w:tc>
        <w:tc>
          <w:tcPr>
            <w:tcW w:w="1248" w:type="dxa"/>
            <w:shd w:val="clear" w:color="auto" w:fill="F2F2F2" w:themeFill="background1" w:themeFillShade="F2"/>
            <w:tcMar>
              <w:top w:w="113" w:type="dxa"/>
              <w:left w:w="113" w:type="dxa"/>
              <w:bottom w:w="113" w:type="dxa"/>
              <w:right w:w="113" w:type="dxa"/>
            </w:tcMar>
            <w:vAlign w:val="center"/>
          </w:tcPr>
          <w:p w14:paraId="1DC70FFC" w14:textId="77777777" w:rsidR="003A257F" w:rsidRPr="003A257F" w:rsidRDefault="003A257F" w:rsidP="001E6632">
            <w:pPr>
              <w:pStyle w:val="CDIFigure-Table-BodyTextCentre"/>
            </w:pPr>
            <w:r w:rsidRPr="003A257F">
              <w:t>545</w:t>
            </w:r>
          </w:p>
        </w:tc>
        <w:tc>
          <w:tcPr>
            <w:tcW w:w="1190" w:type="dxa"/>
            <w:shd w:val="clear" w:color="auto" w:fill="F2F2F2" w:themeFill="background1" w:themeFillShade="F2"/>
            <w:tcMar>
              <w:top w:w="113" w:type="dxa"/>
              <w:left w:w="113" w:type="dxa"/>
              <w:bottom w:w="113" w:type="dxa"/>
              <w:right w:w="113" w:type="dxa"/>
            </w:tcMar>
            <w:vAlign w:val="center"/>
          </w:tcPr>
          <w:p w14:paraId="78BD0106" w14:textId="77777777" w:rsidR="003A257F" w:rsidRPr="003A257F" w:rsidRDefault="003A257F" w:rsidP="001E6632">
            <w:pPr>
              <w:pStyle w:val="CDIFigure-Table-BodyTextCentre"/>
            </w:pPr>
            <w:r w:rsidRPr="003A257F">
              <w:t>452</w:t>
            </w:r>
          </w:p>
        </w:tc>
        <w:tc>
          <w:tcPr>
            <w:tcW w:w="1191" w:type="dxa"/>
            <w:shd w:val="clear" w:color="auto" w:fill="F2F2F2" w:themeFill="background1" w:themeFillShade="F2"/>
            <w:tcMar>
              <w:top w:w="113" w:type="dxa"/>
              <w:left w:w="113" w:type="dxa"/>
              <w:bottom w:w="113" w:type="dxa"/>
              <w:right w:w="113" w:type="dxa"/>
            </w:tcMar>
            <w:vAlign w:val="center"/>
          </w:tcPr>
          <w:p w14:paraId="05DD3227" w14:textId="77777777" w:rsidR="003A257F" w:rsidRPr="003A257F" w:rsidRDefault="003A257F" w:rsidP="001E6632">
            <w:pPr>
              <w:pStyle w:val="CDIFigure-Table-BodyTextCentre"/>
            </w:pPr>
            <w:r w:rsidRPr="003A257F">
              <w:t>484</w:t>
            </w:r>
          </w:p>
        </w:tc>
        <w:tc>
          <w:tcPr>
            <w:tcW w:w="1190" w:type="dxa"/>
            <w:shd w:val="clear" w:color="auto" w:fill="F2F2F2" w:themeFill="background1" w:themeFillShade="F2"/>
            <w:tcMar>
              <w:top w:w="113" w:type="dxa"/>
              <w:left w:w="113" w:type="dxa"/>
              <w:bottom w:w="113" w:type="dxa"/>
              <w:right w:w="113" w:type="dxa"/>
            </w:tcMar>
            <w:vAlign w:val="center"/>
          </w:tcPr>
          <w:p w14:paraId="11D9B619" w14:textId="77777777" w:rsidR="003A257F" w:rsidRPr="003A257F" w:rsidRDefault="003A257F" w:rsidP="001E6632">
            <w:pPr>
              <w:pStyle w:val="CDIFigure-Table-BodyTextCentre"/>
            </w:pPr>
            <w:r w:rsidRPr="003A257F">
              <w:t>-20%</w:t>
            </w:r>
          </w:p>
        </w:tc>
        <w:tc>
          <w:tcPr>
            <w:tcW w:w="1191" w:type="dxa"/>
            <w:shd w:val="clear" w:color="auto" w:fill="F2F2F2" w:themeFill="background1" w:themeFillShade="F2"/>
            <w:tcMar>
              <w:top w:w="113" w:type="dxa"/>
              <w:left w:w="113" w:type="dxa"/>
              <w:bottom w:w="113" w:type="dxa"/>
              <w:right w:w="113" w:type="dxa"/>
            </w:tcMar>
            <w:vAlign w:val="center"/>
          </w:tcPr>
          <w:p w14:paraId="682B8BD6" w14:textId="77777777" w:rsidR="003A257F" w:rsidRPr="003A257F" w:rsidRDefault="003A257F" w:rsidP="001E6632">
            <w:pPr>
              <w:pStyle w:val="CDIFigure-Table-BodyTextCentre"/>
            </w:pPr>
            <w:r w:rsidRPr="003A257F">
              <w:t>-17%</w:t>
            </w:r>
          </w:p>
        </w:tc>
        <w:tc>
          <w:tcPr>
            <w:tcW w:w="1190" w:type="dxa"/>
            <w:shd w:val="clear" w:color="auto" w:fill="F2F2F2" w:themeFill="background1" w:themeFillShade="F2"/>
            <w:tcMar>
              <w:top w:w="113" w:type="dxa"/>
              <w:left w:w="113" w:type="dxa"/>
              <w:bottom w:w="113" w:type="dxa"/>
              <w:right w:w="113" w:type="dxa"/>
            </w:tcMar>
            <w:vAlign w:val="center"/>
          </w:tcPr>
          <w:p w14:paraId="69A077C4" w14:textId="77777777" w:rsidR="003A257F" w:rsidRPr="003A257F" w:rsidRDefault="003A257F" w:rsidP="001E6632">
            <w:pPr>
              <w:pStyle w:val="CDIFigure-Table-BodyTextCentre"/>
            </w:pPr>
            <w:r w:rsidRPr="003A257F">
              <w:t>-15%</w:t>
            </w:r>
          </w:p>
        </w:tc>
        <w:tc>
          <w:tcPr>
            <w:tcW w:w="1134" w:type="dxa"/>
            <w:shd w:val="clear" w:color="auto" w:fill="F2F2F2" w:themeFill="background1" w:themeFillShade="F2"/>
            <w:tcMar>
              <w:top w:w="113" w:type="dxa"/>
              <w:left w:w="113" w:type="dxa"/>
              <w:bottom w:w="113" w:type="dxa"/>
              <w:right w:w="113" w:type="dxa"/>
            </w:tcMar>
            <w:vAlign w:val="center"/>
          </w:tcPr>
          <w:p w14:paraId="4C1F910A" w14:textId="77777777" w:rsidR="003A257F" w:rsidRPr="003A257F" w:rsidRDefault="003A257F" w:rsidP="001E6632">
            <w:pPr>
              <w:pStyle w:val="CDIFigure-Table-BodyTextCentre"/>
            </w:pPr>
            <w:r w:rsidRPr="003A257F">
              <w:t>-11%</w:t>
            </w:r>
          </w:p>
        </w:tc>
      </w:tr>
      <w:tr w:rsidR="003A257F" w:rsidRPr="003A257F" w14:paraId="18E02878" w14:textId="77777777" w:rsidTr="003338BD">
        <w:trPr>
          <w:divId w:val="935526654"/>
          <w:trHeight w:val="20"/>
        </w:trPr>
        <w:tc>
          <w:tcPr>
            <w:tcW w:w="1474" w:type="dxa"/>
            <w:vMerge/>
            <w:tcBorders>
              <w:bottom w:val="single" w:sz="4" w:space="0" w:color="033636" w:themeColor="text2"/>
            </w:tcBorders>
            <w:shd w:val="clear" w:color="auto" w:fill="C5FFEF" w:themeFill="background2" w:themeFillTint="33"/>
          </w:tcPr>
          <w:p w14:paraId="52D9DC32" w14:textId="77777777" w:rsidR="003A257F" w:rsidRPr="003A257F" w:rsidRDefault="003A257F" w:rsidP="003A257F"/>
        </w:tc>
        <w:tc>
          <w:tcPr>
            <w:tcW w:w="3345" w:type="dxa"/>
            <w:tcBorders>
              <w:bottom w:val="single" w:sz="4" w:space="0" w:color="033636" w:themeColor="text2"/>
            </w:tcBorders>
            <w:tcMar>
              <w:top w:w="113" w:type="dxa"/>
              <w:left w:w="113" w:type="dxa"/>
              <w:bottom w:w="113" w:type="dxa"/>
              <w:right w:w="113" w:type="dxa"/>
            </w:tcMar>
            <w:vAlign w:val="center"/>
          </w:tcPr>
          <w:p w14:paraId="0AE1564A" w14:textId="77777777" w:rsidR="003A257F" w:rsidRPr="003A257F" w:rsidRDefault="003A257F" w:rsidP="001E6632">
            <w:pPr>
              <w:pStyle w:val="CDIFigure-Table-BodyTextLeft"/>
            </w:pPr>
            <w:r w:rsidRPr="003A257F">
              <w:t>Tularaemia</w:t>
            </w:r>
          </w:p>
        </w:tc>
        <w:tc>
          <w:tcPr>
            <w:tcW w:w="1190" w:type="dxa"/>
            <w:tcBorders>
              <w:bottom w:val="single" w:sz="4" w:space="0" w:color="033636" w:themeColor="text2"/>
            </w:tcBorders>
            <w:tcMar>
              <w:top w:w="113" w:type="dxa"/>
              <w:left w:w="113" w:type="dxa"/>
              <w:bottom w:w="113" w:type="dxa"/>
              <w:right w:w="113" w:type="dxa"/>
            </w:tcMar>
            <w:vAlign w:val="center"/>
          </w:tcPr>
          <w:p w14:paraId="01B80C7C" w14:textId="77777777" w:rsidR="003A257F" w:rsidRPr="003A257F" w:rsidRDefault="003A257F" w:rsidP="001E6632">
            <w:pPr>
              <w:pStyle w:val="CDIFigure-Table-BodyTextCentre"/>
            </w:pPr>
            <w:r w:rsidRPr="003A257F">
              <w:t>0</w:t>
            </w:r>
          </w:p>
        </w:tc>
        <w:tc>
          <w:tcPr>
            <w:tcW w:w="1248" w:type="dxa"/>
            <w:tcBorders>
              <w:bottom w:val="single" w:sz="4" w:space="0" w:color="033636" w:themeColor="text2"/>
            </w:tcBorders>
            <w:tcMar>
              <w:top w:w="113" w:type="dxa"/>
              <w:left w:w="113" w:type="dxa"/>
              <w:bottom w:w="113" w:type="dxa"/>
              <w:right w:w="113" w:type="dxa"/>
            </w:tcMar>
            <w:vAlign w:val="center"/>
          </w:tcPr>
          <w:p w14:paraId="0CC39BFC" w14:textId="77777777" w:rsidR="003A257F" w:rsidRPr="003A257F" w:rsidRDefault="003A257F" w:rsidP="001E6632">
            <w:pPr>
              <w:pStyle w:val="CDIFigure-Table-BodyTextCentre"/>
            </w:pPr>
            <w:r w:rsidRPr="003A257F">
              <w:t>0</w:t>
            </w:r>
          </w:p>
        </w:tc>
        <w:tc>
          <w:tcPr>
            <w:tcW w:w="1190" w:type="dxa"/>
            <w:tcBorders>
              <w:bottom w:val="single" w:sz="4" w:space="0" w:color="033636" w:themeColor="text2"/>
            </w:tcBorders>
            <w:tcMar>
              <w:top w:w="113" w:type="dxa"/>
              <w:left w:w="113" w:type="dxa"/>
              <w:bottom w:w="113" w:type="dxa"/>
              <w:right w:w="113" w:type="dxa"/>
            </w:tcMar>
            <w:vAlign w:val="center"/>
          </w:tcPr>
          <w:p w14:paraId="4743C919" w14:textId="77777777" w:rsidR="003A257F" w:rsidRPr="003A257F" w:rsidRDefault="003A257F" w:rsidP="001E6632">
            <w:pPr>
              <w:pStyle w:val="CDIFigure-Table-BodyTextCentre"/>
            </w:pPr>
            <w:r w:rsidRPr="003A257F">
              <w:t>2</w:t>
            </w:r>
          </w:p>
        </w:tc>
        <w:tc>
          <w:tcPr>
            <w:tcW w:w="1191" w:type="dxa"/>
            <w:tcBorders>
              <w:bottom w:val="single" w:sz="4" w:space="0" w:color="033636" w:themeColor="text2"/>
            </w:tcBorders>
            <w:tcMar>
              <w:top w:w="113" w:type="dxa"/>
              <w:left w:w="113" w:type="dxa"/>
              <w:bottom w:w="113" w:type="dxa"/>
              <w:right w:w="113" w:type="dxa"/>
            </w:tcMar>
            <w:vAlign w:val="center"/>
          </w:tcPr>
          <w:p w14:paraId="0E86978C" w14:textId="77777777" w:rsidR="003A257F" w:rsidRPr="003A257F" w:rsidRDefault="003A257F" w:rsidP="001E6632">
            <w:pPr>
              <w:pStyle w:val="CDIFigure-Table-BodyTextCentre"/>
            </w:pPr>
            <w:r w:rsidRPr="003A257F">
              <w:t>0</w:t>
            </w:r>
          </w:p>
        </w:tc>
        <w:tc>
          <w:tcPr>
            <w:tcW w:w="1190" w:type="dxa"/>
            <w:tcBorders>
              <w:bottom w:val="single" w:sz="4" w:space="0" w:color="033636" w:themeColor="text2"/>
            </w:tcBorders>
            <w:tcMar>
              <w:top w:w="113" w:type="dxa"/>
              <w:left w:w="113" w:type="dxa"/>
              <w:bottom w:w="113" w:type="dxa"/>
              <w:right w:w="113" w:type="dxa"/>
            </w:tcMar>
            <w:vAlign w:val="center"/>
          </w:tcPr>
          <w:p w14:paraId="5C708763" w14:textId="77777777" w:rsidR="003A257F" w:rsidRPr="003A257F" w:rsidRDefault="003A257F" w:rsidP="001E6632">
            <w:pPr>
              <w:pStyle w:val="CDIFigure-Table-BodyTextCentre"/>
            </w:pPr>
            <w:r w:rsidRPr="003A257F">
              <w:t>—</w:t>
            </w:r>
          </w:p>
        </w:tc>
        <w:tc>
          <w:tcPr>
            <w:tcW w:w="1191" w:type="dxa"/>
            <w:tcBorders>
              <w:bottom w:val="single" w:sz="4" w:space="0" w:color="033636" w:themeColor="text2"/>
            </w:tcBorders>
            <w:tcMar>
              <w:top w:w="113" w:type="dxa"/>
              <w:left w:w="113" w:type="dxa"/>
              <w:bottom w:w="113" w:type="dxa"/>
              <w:right w:w="113" w:type="dxa"/>
            </w:tcMar>
            <w:vAlign w:val="center"/>
          </w:tcPr>
          <w:p w14:paraId="6406BD46" w14:textId="77777777" w:rsidR="003A257F" w:rsidRPr="003A257F" w:rsidRDefault="003A257F" w:rsidP="001E6632">
            <w:pPr>
              <w:pStyle w:val="CDIFigure-Table-BodyTextCentre"/>
            </w:pPr>
            <w:r w:rsidRPr="003A257F">
              <w:t>—</w:t>
            </w:r>
          </w:p>
        </w:tc>
        <w:tc>
          <w:tcPr>
            <w:tcW w:w="1190" w:type="dxa"/>
            <w:tcBorders>
              <w:bottom w:val="single" w:sz="4" w:space="0" w:color="033636" w:themeColor="text2"/>
            </w:tcBorders>
            <w:tcMar>
              <w:top w:w="113" w:type="dxa"/>
              <w:left w:w="113" w:type="dxa"/>
              <w:bottom w:w="113" w:type="dxa"/>
              <w:right w:w="113" w:type="dxa"/>
            </w:tcMar>
            <w:vAlign w:val="center"/>
          </w:tcPr>
          <w:p w14:paraId="71981E3D" w14:textId="77777777" w:rsidR="003A257F" w:rsidRPr="003A257F" w:rsidRDefault="003A257F" w:rsidP="001E6632">
            <w:pPr>
              <w:pStyle w:val="CDIFigure-Table-BodyTextCentre"/>
            </w:pPr>
            <w:r w:rsidRPr="003A257F">
              <w:t>—</w:t>
            </w:r>
          </w:p>
        </w:tc>
        <w:tc>
          <w:tcPr>
            <w:tcW w:w="1134" w:type="dxa"/>
            <w:tcBorders>
              <w:bottom w:val="single" w:sz="4" w:space="0" w:color="033636" w:themeColor="text2"/>
            </w:tcBorders>
            <w:tcMar>
              <w:top w:w="113" w:type="dxa"/>
              <w:left w:w="113" w:type="dxa"/>
              <w:bottom w:w="113" w:type="dxa"/>
              <w:right w:w="113" w:type="dxa"/>
            </w:tcMar>
            <w:vAlign w:val="center"/>
          </w:tcPr>
          <w:p w14:paraId="73CCF501" w14:textId="77777777" w:rsidR="003A257F" w:rsidRPr="003A257F" w:rsidRDefault="003A257F" w:rsidP="001E6632">
            <w:pPr>
              <w:pStyle w:val="CDIFigure-Table-BodyTextCentre"/>
            </w:pPr>
            <w:r w:rsidRPr="003A257F">
              <w:t>—</w:t>
            </w:r>
          </w:p>
        </w:tc>
      </w:tr>
    </w:tbl>
    <w:p w14:paraId="1BB0FD10" w14:textId="77777777" w:rsidR="00C34F96" w:rsidRDefault="00C34F96" w:rsidP="00C34F96">
      <w:pPr>
        <w:pStyle w:val="CDIFigure-Table-FirstFootnote"/>
        <w:divId w:val="935526654"/>
      </w:pPr>
      <w:r>
        <w:t>a</w:t>
      </w:r>
      <w:r>
        <w:tab/>
        <w:t>COVID-19 and diseases with no notifications during the study period are excluded.</w:t>
      </w:r>
    </w:p>
    <w:p w14:paraId="6FE90342" w14:textId="77777777" w:rsidR="00C34F96" w:rsidRDefault="00C34F96" w:rsidP="00C34F96">
      <w:pPr>
        <w:pStyle w:val="CDIFigure-Table-Footnote"/>
        <w:divId w:val="935526654"/>
      </w:pPr>
      <w:r>
        <w:t>b</w:t>
      </w:r>
      <w:r>
        <w:tab/>
        <w:t>New South Wales commenced reporting of campylobacteriosis in April 2017.</w:t>
      </w:r>
    </w:p>
    <w:p w14:paraId="592F00DF" w14:textId="77777777" w:rsidR="00C34F96" w:rsidRDefault="00C34F96" w:rsidP="00C34F96">
      <w:pPr>
        <w:pStyle w:val="CDIFigure-Table-Footnote"/>
        <w:divId w:val="935526654"/>
      </w:pPr>
      <w:r>
        <w:t>c</w:t>
      </w:r>
      <w:r>
        <w:tab/>
        <w:t>Case definition for shigellosis was changed in July 2018.</w:t>
      </w:r>
    </w:p>
    <w:p w14:paraId="201AC755" w14:textId="1FA4083B" w:rsidR="00C34F96" w:rsidRDefault="00C34F96" w:rsidP="00C34F96">
      <w:pPr>
        <w:pStyle w:val="CDIFigure-Table-Footnote"/>
      </w:pPr>
      <w:r>
        <w:t>d</w:t>
      </w:r>
      <w:r>
        <w:tab/>
        <w:t>Rotavirus became nationally notifiable in 2017.</w:t>
      </w:r>
      <w:r>
        <w:br w:type="page"/>
      </w:r>
    </w:p>
    <w:p w14:paraId="785C81D2" w14:textId="5D8EE20C" w:rsidR="00C34F96" w:rsidRDefault="00C34F96" w:rsidP="00C34F96">
      <w:pPr>
        <w:pStyle w:val="CDIFigure-Table-Title"/>
        <w:divId w:val="935526654"/>
      </w:pPr>
      <w:r w:rsidRPr="00C34F96">
        <w:lastRenderedPageBreak/>
        <w:t>Table 2: Notification rate ratios (NRR) of selected diseases in 2020 and 2021, compared with pre-pandemic years 2015–2019</w:t>
      </w:r>
    </w:p>
    <w:tbl>
      <w:tblPr>
        <w:tblW w:w="14400" w:type="dxa"/>
        <w:tblInd w:w="-8" w:type="dxa"/>
        <w:tblLayout w:type="fixed"/>
        <w:tblCellMar>
          <w:left w:w="0" w:type="dxa"/>
          <w:right w:w="0" w:type="dxa"/>
        </w:tblCellMar>
        <w:tblLook w:val="0000" w:firstRow="0" w:lastRow="0" w:firstColumn="0" w:lastColumn="0" w:noHBand="0" w:noVBand="0"/>
        <w:tblCaption w:val="Table 2: Notification rate ratios (NRR) of selected diseases in 2020 and 2021, compared with pre-pandemic years 2015–2019"/>
        <w:tblDescription w:val="Notification rate ratios (NRR) of selected diseases in 2020 and 2021, compared with pre-pandemic years 2015–2019. "/>
      </w:tblPr>
      <w:tblGrid>
        <w:gridCol w:w="1474"/>
        <w:gridCol w:w="2891"/>
        <w:gridCol w:w="737"/>
        <w:gridCol w:w="794"/>
        <w:gridCol w:w="737"/>
        <w:gridCol w:w="737"/>
        <w:gridCol w:w="737"/>
        <w:gridCol w:w="1021"/>
        <w:gridCol w:w="737"/>
        <w:gridCol w:w="1020"/>
        <w:gridCol w:w="737"/>
        <w:gridCol w:w="1021"/>
        <w:gridCol w:w="737"/>
        <w:gridCol w:w="1020"/>
      </w:tblGrid>
      <w:tr w:rsidR="00AE09DE" w:rsidRPr="00AE09DE" w14:paraId="5429529E" w14:textId="77777777" w:rsidTr="00554FA2">
        <w:trPr>
          <w:divId w:val="935526654"/>
          <w:trHeight w:val="20"/>
          <w:tblHeader/>
        </w:trPr>
        <w:tc>
          <w:tcPr>
            <w:tcW w:w="1474" w:type="dxa"/>
            <w:vMerge w:val="restart"/>
            <w:shd w:val="clear" w:color="auto" w:fill="033636" w:themeFill="text2"/>
            <w:tcMar>
              <w:top w:w="113" w:type="dxa"/>
              <w:left w:w="113" w:type="dxa"/>
              <w:bottom w:w="113" w:type="dxa"/>
              <w:right w:w="113" w:type="dxa"/>
            </w:tcMar>
            <w:vAlign w:val="bottom"/>
          </w:tcPr>
          <w:p w14:paraId="0AD4D239" w14:textId="77777777" w:rsidR="00AE09DE" w:rsidRPr="00AE09DE" w:rsidRDefault="00AE09DE" w:rsidP="001025DA">
            <w:pPr>
              <w:pStyle w:val="CDIFigure-Table-H1Left"/>
            </w:pPr>
            <w:r w:rsidRPr="00AE09DE">
              <w:t>Disease group</w:t>
            </w:r>
          </w:p>
        </w:tc>
        <w:tc>
          <w:tcPr>
            <w:tcW w:w="2891" w:type="dxa"/>
            <w:vMerge w:val="restart"/>
            <w:shd w:val="clear" w:color="auto" w:fill="033636" w:themeFill="text2"/>
            <w:tcMar>
              <w:top w:w="113" w:type="dxa"/>
              <w:left w:w="113" w:type="dxa"/>
              <w:bottom w:w="113" w:type="dxa"/>
              <w:right w:w="113" w:type="dxa"/>
            </w:tcMar>
            <w:vAlign w:val="bottom"/>
          </w:tcPr>
          <w:p w14:paraId="219198BE" w14:textId="77777777" w:rsidR="00AE09DE" w:rsidRPr="00AE09DE" w:rsidRDefault="00AE09DE" w:rsidP="001025DA">
            <w:pPr>
              <w:pStyle w:val="CDIFigure-Table-H1Left"/>
            </w:pPr>
            <w:r w:rsidRPr="00AE09DE">
              <w:t>Disease</w:t>
            </w:r>
          </w:p>
        </w:tc>
        <w:tc>
          <w:tcPr>
            <w:tcW w:w="3005" w:type="dxa"/>
            <w:gridSpan w:val="4"/>
            <w:vMerge w:val="restart"/>
            <w:tcBorders>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699D882A" w14:textId="77777777" w:rsidR="00AE09DE" w:rsidRPr="00AE09DE" w:rsidRDefault="00AE09DE" w:rsidP="00263EAD">
            <w:pPr>
              <w:pStyle w:val="CDIFigure-Table-H1"/>
            </w:pPr>
            <w:r w:rsidRPr="00AE09DE">
              <w:t>Mean notification rate</w:t>
            </w:r>
            <w:r w:rsidRPr="00AE09DE">
              <w:br/>
              <w:t>per 100,000 population</w:t>
            </w:r>
          </w:p>
        </w:tc>
        <w:tc>
          <w:tcPr>
            <w:tcW w:w="3515" w:type="dxa"/>
            <w:gridSpan w:val="4"/>
            <w:tcBorders>
              <w:left w:val="single" w:sz="4" w:space="0" w:color="FFFFFF" w:themeColor="background1"/>
              <w:right w:val="single" w:sz="4" w:space="0" w:color="FFFFFF" w:themeColor="background1"/>
            </w:tcBorders>
            <w:shd w:val="clear" w:color="auto" w:fill="033636" w:themeFill="text2"/>
            <w:tcMar>
              <w:top w:w="113" w:type="dxa"/>
              <w:left w:w="113" w:type="dxa"/>
              <w:bottom w:w="57" w:type="dxa"/>
              <w:right w:w="113" w:type="dxa"/>
            </w:tcMar>
            <w:vAlign w:val="center"/>
          </w:tcPr>
          <w:p w14:paraId="5B7D969D" w14:textId="77777777" w:rsidR="00AE09DE" w:rsidRPr="00AE09DE" w:rsidRDefault="00AE09DE" w:rsidP="00554FA2">
            <w:pPr>
              <w:pStyle w:val="CDIFigure-Table-H1"/>
            </w:pPr>
            <w:r w:rsidRPr="00AE09DE">
              <w:t>NRR compared with 2019</w:t>
            </w:r>
            <w:r w:rsidRPr="00263EAD">
              <w:rPr>
                <w:vertAlign w:val="superscript"/>
              </w:rPr>
              <w:t>a</w:t>
            </w:r>
          </w:p>
        </w:tc>
        <w:tc>
          <w:tcPr>
            <w:tcW w:w="3515" w:type="dxa"/>
            <w:gridSpan w:val="4"/>
            <w:tcBorders>
              <w:left w:val="single" w:sz="4" w:space="0" w:color="FFFFFF" w:themeColor="background1"/>
            </w:tcBorders>
            <w:shd w:val="clear" w:color="auto" w:fill="033636" w:themeFill="text2"/>
            <w:tcMar>
              <w:top w:w="113" w:type="dxa"/>
              <w:left w:w="113" w:type="dxa"/>
              <w:bottom w:w="57" w:type="dxa"/>
              <w:right w:w="113" w:type="dxa"/>
            </w:tcMar>
            <w:vAlign w:val="center"/>
          </w:tcPr>
          <w:p w14:paraId="7C07D953" w14:textId="77777777" w:rsidR="00AE09DE" w:rsidRPr="00AE09DE" w:rsidRDefault="00AE09DE" w:rsidP="00554FA2">
            <w:pPr>
              <w:pStyle w:val="CDIFigure-Table-H1"/>
            </w:pPr>
            <w:r w:rsidRPr="00AE09DE">
              <w:t>NRR compared with 5-year mean</w:t>
            </w:r>
            <w:r w:rsidRPr="00263EAD">
              <w:rPr>
                <w:bCs/>
                <w:vertAlign w:val="superscript"/>
              </w:rPr>
              <w:t>a,b</w:t>
            </w:r>
          </w:p>
        </w:tc>
      </w:tr>
      <w:tr w:rsidR="00554FA2" w:rsidRPr="00AE09DE" w14:paraId="28620CDF" w14:textId="77777777" w:rsidTr="00554FA2">
        <w:trPr>
          <w:divId w:val="935526654"/>
          <w:trHeight w:val="20"/>
          <w:tblHeader/>
        </w:trPr>
        <w:tc>
          <w:tcPr>
            <w:tcW w:w="1474" w:type="dxa"/>
            <w:vMerge/>
            <w:shd w:val="clear" w:color="auto" w:fill="033636" w:themeFill="text2"/>
          </w:tcPr>
          <w:p w14:paraId="50534ED7" w14:textId="77777777" w:rsidR="00AE09DE" w:rsidRPr="00AE09DE" w:rsidRDefault="00AE09DE" w:rsidP="00AE09DE"/>
        </w:tc>
        <w:tc>
          <w:tcPr>
            <w:tcW w:w="2891" w:type="dxa"/>
            <w:vMerge/>
            <w:shd w:val="clear" w:color="auto" w:fill="033636" w:themeFill="text2"/>
          </w:tcPr>
          <w:p w14:paraId="270466F9" w14:textId="77777777" w:rsidR="00AE09DE" w:rsidRPr="00AE09DE" w:rsidRDefault="00AE09DE" w:rsidP="00AE09DE"/>
        </w:tc>
        <w:tc>
          <w:tcPr>
            <w:tcW w:w="3005" w:type="dxa"/>
            <w:gridSpan w:val="4"/>
            <w:vMerge/>
            <w:tcBorders>
              <w:top w:val="single" w:sz="4" w:space="0" w:color="FFFFFF" w:themeColor="background1"/>
              <w:bottom w:val="single" w:sz="4" w:space="0" w:color="FFFFFF" w:themeColor="background1"/>
              <w:right w:val="single" w:sz="4" w:space="0" w:color="FFFFFF" w:themeColor="background1"/>
            </w:tcBorders>
            <w:shd w:val="clear" w:color="auto" w:fill="033636" w:themeFill="text2"/>
            <w:vAlign w:val="center"/>
          </w:tcPr>
          <w:p w14:paraId="6EEF2244" w14:textId="77777777" w:rsidR="00AE09DE" w:rsidRPr="00AE09DE" w:rsidRDefault="00AE09DE" w:rsidP="00263EAD">
            <w:pPr>
              <w:pStyle w:val="CDIFigure-Table-H1"/>
            </w:pPr>
          </w:p>
        </w:tc>
        <w:tc>
          <w:tcPr>
            <w:tcW w:w="1758" w:type="dxa"/>
            <w:gridSpan w:val="2"/>
            <w:tcBorders>
              <w:left w:val="single" w:sz="4" w:space="0" w:color="FFFFFF" w:themeColor="background1"/>
              <w:bottom w:val="single" w:sz="4" w:space="0" w:color="FFFFFF" w:themeColor="background1"/>
            </w:tcBorders>
            <w:shd w:val="clear" w:color="auto" w:fill="033636" w:themeFill="text2"/>
            <w:tcMar>
              <w:top w:w="57" w:type="dxa"/>
              <w:left w:w="113" w:type="dxa"/>
              <w:bottom w:w="113" w:type="dxa"/>
              <w:right w:w="113" w:type="dxa"/>
            </w:tcMar>
            <w:vAlign w:val="center"/>
          </w:tcPr>
          <w:p w14:paraId="6702734D" w14:textId="77777777" w:rsidR="00AE09DE" w:rsidRPr="00AE09DE" w:rsidRDefault="00AE09DE" w:rsidP="00263EAD">
            <w:pPr>
              <w:pStyle w:val="CDIFigure-Table-H1"/>
            </w:pPr>
            <w:r w:rsidRPr="00AE09DE">
              <w:t>2020</w:t>
            </w:r>
          </w:p>
        </w:tc>
        <w:tc>
          <w:tcPr>
            <w:tcW w:w="1757" w:type="dxa"/>
            <w:gridSpan w:val="2"/>
            <w:tcBorders>
              <w:bottom w:val="single" w:sz="4" w:space="0" w:color="FFFFFF" w:themeColor="background1"/>
              <w:right w:val="single" w:sz="4" w:space="0" w:color="FFFFFF" w:themeColor="background1"/>
            </w:tcBorders>
            <w:shd w:val="clear" w:color="auto" w:fill="033636" w:themeFill="text2"/>
            <w:tcMar>
              <w:top w:w="57" w:type="dxa"/>
              <w:left w:w="113" w:type="dxa"/>
              <w:bottom w:w="113" w:type="dxa"/>
              <w:right w:w="113" w:type="dxa"/>
            </w:tcMar>
            <w:vAlign w:val="center"/>
          </w:tcPr>
          <w:p w14:paraId="640E40B0" w14:textId="77777777" w:rsidR="00AE09DE" w:rsidRPr="00AE09DE" w:rsidRDefault="00AE09DE" w:rsidP="00263EAD">
            <w:pPr>
              <w:pStyle w:val="CDIFigure-Table-H1"/>
            </w:pPr>
            <w:r w:rsidRPr="00AE09DE">
              <w:t>2021</w:t>
            </w:r>
          </w:p>
        </w:tc>
        <w:tc>
          <w:tcPr>
            <w:tcW w:w="1758" w:type="dxa"/>
            <w:gridSpan w:val="2"/>
            <w:tcBorders>
              <w:left w:val="single" w:sz="4" w:space="0" w:color="FFFFFF" w:themeColor="background1"/>
              <w:bottom w:val="single" w:sz="4" w:space="0" w:color="FFFFFF" w:themeColor="background1"/>
            </w:tcBorders>
            <w:shd w:val="clear" w:color="auto" w:fill="033636" w:themeFill="text2"/>
            <w:tcMar>
              <w:top w:w="57" w:type="dxa"/>
              <w:left w:w="113" w:type="dxa"/>
              <w:bottom w:w="113" w:type="dxa"/>
              <w:right w:w="113" w:type="dxa"/>
            </w:tcMar>
            <w:vAlign w:val="center"/>
          </w:tcPr>
          <w:p w14:paraId="11D49979" w14:textId="77777777" w:rsidR="00AE09DE" w:rsidRPr="00AE09DE" w:rsidRDefault="00AE09DE" w:rsidP="00263EAD">
            <w:pPr>
              <w:pStyle w:val="CDIFigure-Table-H1"/>
            </w:pPr>
            <w:r w:rsidRPr="00AE09DE">
              <w:t>2020</w:t>
            </w:r>
          </w:p>
        </w:tc>
        <w:tc>
          <w:tcPr>
            <w:tcW w:w="1757" w:type="dxa"/>
            <w:gridSpan w:val="2"/>
            <w:tcBorders>
              <w:bottom w:val="single" w:sz="4" w:space="0" w:color="FFFFFF" w:themeColor="background1"/>
            </w:tcBorders>
            <w:shd w:val="clear" w:color="auto" w:fill="033636" w:themeFill="text2"/>
            <w:tcMar>
              <w:top w:w="57" w:type="dxa"/>
              <w:left w:w="113" w:type="dxa"/>
              <w:bottom w:w="113" w:type="dxa"/>
              <w:right w:w="113" w:type="dxa"/>
            </w:tcMar>
            <w:vAlign w:val="center"/>
          </w:tcPr>
          <w:p w14:paraId="24108243" w14:textId="77777777" w:rsidR="00AE09DE" w:rsidRPr="00AE09DE" w:rsidRDefault="00AE09DE" w:rsidP="00263EAD">
            <w:pPr>
              <w:pStyle w:val="CDIFigure-Table-H1"/>
            </w:pPr>
            <w:r w:rsidRPr="00AE09DE">
              <w:t>2021</w:t>
            </w:r>
          </w:p>
        </w:tc>
      </w:tr>
      <w:tr w:rsidR="001025DA" w:rsidRPr="00AE09DE" w14:paraId="7E7CCE2A" w14:textId="77777777" w:rsidTr="00554FA2">
        <w:trPr>
          <w:divId w:val="935526654"/>
          <w:trHeight w:val="20"/>
          <w:tblHeader/>
        </w:trPr>
        <w:tc>
          <w:tcPr>
            <w:tcW w:w="1474" w:type="dxa"/>
            <w:vMerge/>
            <w:shd w:val="clear" w:color="auto" w:fill="033636" w:themeFill="text2"/>
          </w:tcPr>
          <w:p w14:paraId="54949A42" w14:textId="77777777" w:rsidR="00AE09DE" w:rsidRPr="00AE09DE" w:rsidRDefault="00AE09DE" w:rsidP="00AE09DE"/>
        </w:tc>
        <w:tc>
          <w:tcPr>
            <w:tcW w:w="2891" w:type="dxa"/>
            <w:vMerge/>
            <w:shd w:val="clear" w:color="auto" w:fill="033636" w:themeFill="text2"/>
          </w:tcPr>
          <w:p w14:paraId="63EEA83F" w14:textId="77777777" w:rsidR="00AE09DE" w:rsidRPr="00AE09DE" w:rsidRDefault="00AE09DE" w:rsidP="00AE09DE"/>
        </w:tc>
        <w:tc>
          <w:tcPr>
            <w:tcW w:w="73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5B963A9" w14:textId="77777777" w:rsidR="00AE09DE" w:rsidRPr="00AE09DE" w:rsidRDefault="00AE09DE" w:rsidP="001025DA">
            <w:pPr>
              <w:pStyle w:val="CDIFigure-Table-H1"/>
            </w:pPr>
            <w:r w:rsidRPr="00AE09DE">
              <w:t>2019</w:t>
            </w:r>
          </w:p>
        </w:tc>
        <w:tc>
          <w:tcPr>
            <w:tcW w:w="79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4311E04" w14:textId="77777777" w:rsidR="00AE09DE" w:rsidRPr="00AE09DE" w:rsidRDefault="00AE09DE" w:rsidP="001025DA">
            <w:pPr>
              <w:pStyle w:val="CDIFigure-Table-H1"/>
            </w:pPr>
            <w:r w:rsidRPr="00AE09DE">
              <w:t>5-year mean</w:t>
            </w:r>
            <w:r w:rsidRPr="00263EAD">
              <w:rPr>
                <w:bCs/>
                <w:vertAlign w:val="superscript"/>
              </w:rPr>
              <w:t>b</w:t>
            </w:r>
          </w:p>
        </w:tc>
        <w:tc>
          <w:tcPr>
            <w:tcW w:w="73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B594E34" w14:textId="77777777" w:rsidR="00AE09DE" w:rsidRPr="00AE09DE" w:rsidRDefault="00AE09DE" w:rsidP="001025DA">
            <w:pPr>
              <w:pStyle w:val="CDIFigure-Table-H1"/>
            </w:pPr>
            <w:r w:rsidRPr="00AE09DE">
              <w:t>2020</w:t>
            </w:r>
          </w:p>
        </w:tc>
        <w:tc>
          <w:tcPr>
            <w:tcW w:w="73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C19F710" w14:textId="77777777" w:rsidR="00AE09DE" w:rsidRPr="00AE09DE" w:rsidRDefault="00AE09DE" w:rsidP="001025DA">
            <w:pPr>
              <w:pStyle w:val="CDIFigure-Table-H1"/>
            </w:pPr>
            <w:r w:rsidRPr="00AE09DE">
              <w:t>2021</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B27CFF2" w14:textId="77777777" w:rsidR="00AE09DE" w:rsidRPr="00AE09DE" w:rsidRDefault="00AE09DE" w:rsidP="001025DA">
            <w:pPr>
              <w:pStyle w:val="CDIFigure-Table-H1"/>
            </w:pPr>
            <w:r w:rsidRPr="00AE09DE">
              <w:t>NRR</w:t>
            </w:r>
          </w:p>
        </w:tc>
        <w:tc>
          <w:tcPr>
            <w:tcW w:w="102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161340F" w14:textId="77777777" w:rsidR="00AE09DE" w:rsidRPr="00AE09DE" w:rsidRDefault="00AE09DE" w:rsidP="001025DA">
            <w:pPr>
              <w:pStyle w:val="CDIFigure-Table-H1"/>
            </w:pPr>
            <w:r w:rsidRPr="00AE09DE">
              <w:t>95% CI</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916DF50" w14:textId="77777777" w:rsidR="00AE09DE" w:rsidRPr="00AE09DE" w:rsidRDefault="00AE09DE" w:rsidP="001025DA">
            <w:pPr>
              <w:pStyle w:val="CDIFigure-Table-H1"/>
            </w:pPr>
            <w:r w:rsidRPr="00AE09DE">
              <w:t>NRR</w:t>
            </w:r>
          </w:p>
        </w:tc>
        <w:tc>
          <w:tcPr>
            <w:tcW w:w="1020"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D820548" w14:textId="77777777" w:rsidR="00AE09DE" w:rsidRPr="00AE09DE" w:rsidRDefault="00AE09DE" w:rsidP="001025DA">
            <w:pPr>
              <w:pStyle w:val="CDIFigure-Table-H1"/>
            </w:pPr>
            <w:r w:rsidRPr="00AE09DE">
              <w:t>95% CI</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001199DD" w14:textId="77777777" w:rsidR="00AE09DE" w:rsidRPr="00AE09DE" w:rsidRDefault="00AE09DE" w:rsidP="001025DA">
            <w:pPr>
              <w:pStyle w:val="CDIFigure-Table-H1"/>
            </w:pPr>
            <w:r w:rsidRPr="00AE09DE">
              <w:t>NRR</w:t>
            </w:r>
          </w:p>
        </w:tc>
        <w:tc>
          <w:tcPr>
            <w:tcW w:w="102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E486CC1" w14:textId="77777777" w:rsidR="00AE09DE" w:rsidRPr="00AE09DE" w:rsidRDefault="00AE09DE" w:rsidP="001025DA">
            <w:pPr>
              <w:pStyle w:val="CDIFigure-Table-H1"/>
            </w:pPr>
            <w:r w:rsidRPr="00AE09DE">
              <w:t>95% CI</w:t>
            </w:r>
          </w:p>
        </w:tc>
        <w:tc>
          <w:tcPr>
            <w:tcW w:w="73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B810E2A" w14:textId="77777777" w:rsidR="00AE09DE" w:rsidRPr="00AE09DE" w:rsidRDefault="00AE09DE" w:rsidP="001025DA">
            <w:pPr>
              <w:pStyle w:val="CDIFigure-Table-H1"/>
            </w:pPr>
            <w:r w:rsidRPr="00AE09DE">
              <w:t>NRR</w:t>
            </w:r>
          </w:p>
        </w:tc>
        <w:tc>
          <w:tcPr>
            <w:tcW w:w="102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10957DF" w14:textId="77777777" w:rsidR="00AE09DE" w:rsidRPr="00AE09DE" w:rsidRDefault="00AE09DE" w:rsidP="001025DA">
            <w:pPr>
              <w:pStyle w:val="CDIFigure-Table-H1"/>
            </w:pPr>
            <w:r w:rsidRPr="00AE09DE">
              <w:t>95% CI</w:t>
            </w:r>
          </w:p>
        </w:tc>
      </w:tr>
      <w:tr w:rsidR="00913BE8" w:rsidRPr="00AE09DE" w14:paraId="4C3127A9" w14:textId="77777777" w:rsidTr="00554FA2">
        <w:trPr>
          <w:divId w:val="935526654"/>
          <w:trHeight w:val="20"/>
        </w:trPr>
        <w:tc>
          <w:tcPr>
            <w:tcW w:w="1474" w:type="dxa"/>
            <w:vMerge w:val="restart"/>
            <w:tcBorders>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14FE1E64" w14:textId="77777777" w:rsidR="00913BE8" w:rsidRPr="00AE09DE" w:rsidRDefault="00913BE8" w:rsidP="001025DA">
            <w:pPr>
              <w:pStyle w:val="CDIFigure-Table-BodyTextLeft"/>
            </w:pPr>
            <w:r w:rsidRPr="00AE09DE">
              <w:t>Bloodborne diseases</w:t>
            </w:r>
          </w:p>
        </w:tc>
        <w:tc>
          <w:tcPr>
            <w:tcW w:w="2891" w:type="dxa"/>
            <w:tcMar>
              <w:top w:w="96" w:type="dxa"/>
              <w:left w:w="113" w:type="dxa"/>
              <w:bottom w:w="96" w:type="dxa"/>
              <w:right w:w="113" w:type="dxa"/>
            </w:tcMar>
            <w:vAlign w:val="center"/>
          </w:tcPr>
          <w:p w14:paraId="73E0A2FD" w14:textId="77777777" w:rsidR="00913BE8" w:rsidRPr="00AE09DE" w:rsidRDefault="00913BE8" w:rsidP="001025DA">
            <w:pPr>
              <w:pStyle w:val="CDIFigure-Table-BodyTextLeft"/>
            </w:pPr>
            <w:r w:rsidRPr="00AE09DE">
              <w:t>Hepatitis B (newly acquired)</w:t>
            </w:r>
          </w:p>
        </w:tc>
        <w:tc>
          <w:tcPr>
            <w:tcW w:w="737" w:type="dxa"/>
            <w:tcMar>
              <w:top w:w="96" w:type="dxa"/>
              <w:left w:w="113" w:type="dxa"/>
              <w:bottom w:w="96" w:type="dxa"/>
              <w:right w:w="113" w:type="dxa"/>
            </w:tcMar>
            <w:vAlign w:val="center"/>
          </w:tcPr>
          <w:p w14:paraId="0BD9BAC0" w14:textId="77777777" w:rsidR="00913BE8" w:rsidRPr="00AE09DE" w:rsidRDefault="00913BE8" w:rsidP="001025DA">
            <w:pPr>
              <w:pStyle w:val="CDIFigure-Table-BodyTextCentre"/>
            </w:pPr>
            <w:r w:rsidRPr="00AE09DE">
              <w:t>0.64</w:t>
            </w:r>
          </w:p>
        </w:tc>
        <w:tc>
          <w:tcPr>
            <w:tcW w:w="794" w:type="dxa"/>
            <w:tcMar>
              <w:top w:w="96" w:type="dxa"/>
              <w:left w:w="113" w:type="dxa"/>
              <w:bottom w:w="96" w:type="dxa"/>
              <w:right w:w="113" w:type="dxa"/>
            </w:tcMar>
            <w:vAlign w:val="center"/>
          </w:tcPr>
          <w:p w14:paraId="3ADE0E86" w14:textId="77777777" w:rsidR="00913BE8" w:rsidRPr="00AE09DE" w:rsidRDefault="00913BE8" w:rsidP="001025DA">
            <w:pPr>
              <w:pStyle w:val="CDIFigure-Table-BodyTextCentre"/>
            </w:pPr>
            <w:r w:rsidRPr="00AE09DE">
              <w:t>0.62</w:t>
            </w:r>
          </w:p>
        </w:tc>
        <w:tc>
          <w:tcPr>
            <w:tcW w:w="737" w:type="dxa"/>
            <w:tcMar>
              <w:top w:w="96" w:type="dxa"/>
              <w:left w:w="113" w:type="dxa"/>
              <w:bottom w:w="96" w:type="dxa"/>
              <w:right w:w="113" w:type="dxa"/>
            </w:tcMar>
            <w:vAlign w:val="center"/>
          </w:tcPr>
          <w:p w14:paraId="73DFFC0D" w14:textId="77777777" w:rsidR="00913BE8" w:rsidRPr="00AE09DE" w:rsidRDefault="00913BE8" w:rsidP="001025DA">
            <w:pPr>
              <w:pStyle w:val="CDIFigure-Table-BodyTextCentre"/>
            </w:pPr>
            <w:r w:rsidRPr="00AE09DE">
              <w:t>0.48</w:t>
            </w:r>
          </w:p>
        </w:tc>
        <w:tc>
          <w:tcPr>
            <w:tcW w:w="737" w:type="dxa"/>
            <w:tcBorders>
              <w:right w:val="single" w:sz="4" w:space="0" w:color="033636" w:themeColor="text2"/>
            </w:tcBorders>
            <w:tcMar>
              <w:top w:w="96" w:type="dxa"/>
              <w:left w:w="113" w:type="dxa"/>
              <w:bottom w:w="96" w:type="dxa"/>
              <w:right w:w="113" w:type="dxa"/>
            </w:tcMar>
            <w:vAlign w:val="center"/>
          </w:tcPr>
          <w:p w14:paraId="72D56299" w14:textId="77777777" w:rsidR="00913BE8" w:rsidRPr="00AE09DE" w:rsidRDefault="00913BE8" w:rsidP="001025DA">
            <w:pPr>
              <w:pStyle w:val="CDIFigure-Table-BodyTextCentre"/>
            </w:pPr>
            <w:r w:rsidRPr="00AE09DE">
              <w:t>0.31</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F348CBA" w14:textId="77777777" w:rsidR="00913BE8" w:rsidRPr="00AE09DE" w:rsidRDefault="00913BE8" w:rsidP="001025DA">
            <w:pPr>
              <w:pStyle w:val="CDIFigure-Table-BodyTextCentre"/>
            </w:pPr>
            <w:r w:rsidRPr="00AE09DE">
              <w:t>0.74</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E07B33C" w14:textId="77777777" w:rsidR="00913BE8" w:rsidRPr="00AE09DE" w:rsidRDefault="00913BE8" w:rsidP="001025DA">
            <w:pPr>
              <w:pStyle w:val="CDIFigure-Table-BodyTextCentre"/>
            </w:pPr>
            <w:r w:rsidRPr="00AE09DE">
              <w:t>0.59–0.94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873BB6C" w14:textId="77777777" w:rsidR="00913BE8" w:rsidRPr="00AE09DE" w:rsidRDefault="00913BE8" w:rsidP="001025DA">
            <w:pPr>
              <w:pStyle w:val="CDIFigure-Table-BodyTextCentre"/>
            </w:pPr>
            <w:r w:rsidRPr="00AE09DE">
              <w:t>0.48</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AE9E1AB" w14:textId="77777777" w:rsidR="00913BE8" w:rsidRPr="00AE09DE" w:rsidRDefault="00913BE8" w:rsidP="001025DA">
            <w:pPr>
              <w:pStyle w:val="CDIFigure-Table-BodyTextCentre"/>
            </w:pPr>
            <w:r w:rsidRPr="00AE09DE">
              <w:t>0.37–0.63</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983493D" w14:textId="77777777" w:rsidR="00913BE8" w:rsidRPr="00AE09DE" w:rsidRDefault="00913BE8" w:rsidP="001025DA">
            <w:pPr>
              <w:pStyle w:val="CDIFigure-Table-BodyTextCentre"/>
            </w:pPr>
            <w:r w:rsidRPr="00AE09DE">
              <w:t>0.77</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3C9DAD8F" w14:textId="77777777" w:rsidR="00913BE8" w:rsidRPr="00AE09DE" w:rsidRDefault="00913BE8" w:rsidP="001025DA">
            <w:pPr>
              <w:pStyle w:val="CDIFigure-Table-BodyTextCentre"/>
            </w:pPr>
            <w:r w:rsidRPr="00AE09DE">
              <w:t>0.63–0.93</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08181F4B" w14:textId="77777777" w:rsidR="00913BE8" w:rsidRPr="00AE09DE" w:rsidRDefault="00913BE8" w:rsidP="001025DA">
            <w:pPr>
              <w:pStyle w:val="CDIFigure-Table-BodyTextCentre"/>
            </w:pPr>
            <w:r w:rsidRPr="00AE09DE">
              <w:t>0.50</w:t>
            </w:r>
          </w:p>
        </w:tc>
        <w:tc>
          <w:tcPr>
            <w:tcW w:w="1020" w:type="dxa"/>
            <w:shd w:val="clear" w:color="auto" w:fill="93F9F9" w:themeFill="text2" w:themeFillTint="40"/>
            <w:tcMar>
              <w:top w:w="96" w:type="dxa"/>
              <w:left w:w="113" w:type="dxa"/>
              <w:bottom w:w="96" w:type="dxa"/>
              <w:right w:w="113" w:type="dxa"/>
            </w:tcMar>
            <w:vAlign w:val="center"/>
          </w:tcPr>
          <w:p w14:paraId="207539A5" w14:textId="77777777" w:rsidR="00913BE8" w:rsidRPr="00AE09DE" w:rsidRDefault="00913BE8" w:rsidP="001025DA">
            <w:pPr>
              <w:pStyle w:val="CDIFigure-Table-BodyTextCentre"/>
            </w:pPr>
            <w:r w:rsidRPr="00AE09DE">
              <w:t>0.39–0.62</w:t>
            </w:r>
          </w:p>
        </w:tc>
      </w:tr>
      <w:tr w:rsidR="00913BE8" w:rsidRPr="00AE09DE" w14:paraId="4531AA4B"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4CB6B7E"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5AE7863B" w14:textId="77777777" w:rsidR="00913BE8" w:rsidRPr="00AE09DE" w:rsidRDefault="00913BE8" w:rsidP="001025DA">
            <w:pPr>
              <w:pStyle w:val="CDIFigure-Table-BodyTextLeft"/>
            </w:pPr>
            <w:r w:rsidRPr="00AE09DE">
              <w:t>Hepatitis B (unspecified)</w:t>
            </w:r>
          </w:p>
        </w:tc>
        <w:tc>
          <w:tcPr>
            <w:tcW w:w="737" w:type="dxa"/>
            <w:tcMar>
              <w:top w:w="96" w:type="dxa"/>
              <w:left w:w="113" w:type="dxa"/>
              <w:bottom w:w="96" w:type="dxa"/>
              <w:right w:w="113" w:type="dxa"/>
            </w:tcMar>
            <w:vAlign w:val="center"/>
          </w:tcPr>
          <w:p w14:paraId="7F156DE1" w14:textId="77777777" w:rsidR="00913BE8" w:rsidRPr="00AE09DE" w:rsidRDefault="00913BE8" w:rsidP="001025DA">
            <w:pPr>
              <w:pStyle w:val="CDIFigure-Table-BodyTextCentre"/>
            </w:pPr>
            <w:r w:rsidRPr="00AE09DE">
              <w:t>19</w:t>
            </w:r>
          </w:p>
        </w:tc>
        <w:tc>
          <w:tcPr>
            <w:tcW w:w="794" w:type="dxa"/>
            <w:tcMar>
              <w:top w:w="96" w:type="dxa"/>
              <w:left w:w="113" w:type="dxa"/>
              <w:bottom w:w="96" w:type="dxa"/>
              <w:right w:w="113" w:type="dxa"/>
            </w:tcMar>
            <w:vAlign w:val="center"/>
          </w:tcPr>
          <w:p w14:paraId="742558E1" w14:textId="77777777" w:rsidR="00913BE8" w:rsidRPr="00AE09DE" w:rsidRDefault="00913BE8" w:rsidP="001025DA">
            <w:pPr>
              <w:pStyle w:val="CDIFigure-Table-BodyTextCentre"/>
            </w:pPr>
            <w:r w:rsidRPr="00AE09DE">
              <w:t>24</w:t>
            </w:r>
          </w:p>
        </w:tc>
        <w:tc>
          <w:tcPr>
            <w:tcW w:w="737" w:type="dxa"/>
            <w:tcMar>
              <w:top w:w="96" w:type="dxa"/>
              <w:left w:w="113" w:type="dxa"/>
              <w:bottom w:w="96" w:type="dxa"/>
              <w:right w:w="113" w:type="dxa"/>
            </w:tcMar>
            <w:vAlign w:val="center"/>
          </w:tcPr>
          <w:p w14:paraId="57CFB196" w14:textId="77777777" w:rsidR="00913BE8" w:rsidRPr="00AE09DE" w:rsidRDefault="00913BE8" w:rsidP="001025DA">
            <w:pPr>
              <w:pStyle w:val="CDIFigure-Table-BodyTextCentre"/>
            </w:pPr>
            <w:r w:rsidRPr="00AE09DE">
              <w:t>19</w:t>
            </w:r>
          </w:p>
        </w:tc>
        <w:tc>
          <w:tcPr>
            <w:tcW w:w="737" w:type="dxa"/>
            <w:tcBorders>
              <w:right w:val="single" w:sz="4" w:space="0" w:color="033636" w:themeColor="text2"/>
            </w:tcBorders>
            <w:tcMar>
              <w:top w:w="96" w:type="dxa"/>
              <w:left w:w="113" w:type="dxa"/>
              <w:bottom w:w="96" w:type="dxa"/>
              <w:right w:w="113" w:type="dxa"/>
            </w:tcMar>
            <w:vAlign w:val="center"/>
          </w:tcPr>
          <w:p w14:paraId="55DCBF74" w14:textId="77777777" w:rsidR="00913BE8" w:rsidRPr="00AE09DE" w:rsidRDefault="00913BE8" w:rsidP="001025DA">
            <w:pPr>
              <w:pStyle w:val="CDIFigure-Table-BodyTextCentre"/>
            </w:pPr>
            <w:r w:rsidRPr="00AE09DE">
              <w:t>19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0A99791" w14:textId="77777777" w:rsidR="00913BE8" w:rsidRPr="00AE09DE" w:rsidRDefault="00913BE8" w:rsidP="001025DA">
            <w:pPr>
              <w:pStyle w:val="CDIFigure-Table-BodyTextCentre"/>
            </w:pPr>
            <w:r w:rsidRPr="00AE09DE">
              <w:t>0.88</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552841A8" w14:textId="77777777" w:rsidR="00913BE8" w:rsidRPr="00AE09DE" w:rsidRDefault="00913BE8" w:rsidP="001025DA">
            <w:pPr>
              <w:pStyle w:val="CDIFigure-Table-BodyTextCentre"/>
            </w:pPr>
            <w:r w:rsidRPr="00AE09DE">
              <w:t>0.80–0.96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046BBBC7" w14:textId="77777777" w:rsidR="00913BE8" w:rsidRPr="00AE09DE" w:rsidRDefault="00913BE8" w:rsidP="001025DA">
            <w:pPr>
              <w:pStyle w:val="CDIFigure-Table-BodyTextCentre"/>
            </w:pPr>
            <w:r w:rsidRPr="00AE09DE">
              <w:t>0.87</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340F6A6E" w14:textId="77777777" w:rsidR="00913BE8" w:rsidRPr="00AE09DE" w:rsidRDefault="00913BE8" w:rsidP="001025DA">
            <w:pPr>
              <w:pStyle w:val="CDIFigure-Table-BodyTextCentre"/>
            </w:pPr>
            <w:r w:rsidRPr="00AE09DE">
              <w:t>0.79–0.95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E72CD16" w14:textId="77777777" w:rsidR="00913BE8" w:rsidRPr="00AE09DE" w:rsidRDefault="00913BE8" w:rsidP="001025DA">
            <w:pPr>
              <w:pStyle w:val="CDIFigure-Table-BodyTextCentre"/>
            </w:pPr>
            <w:r w:rsidRPr="00AE09DE">
              <w:t>0.81</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53297A4" w14:textId="77777777" w:rsidR="00913BE8" w:rsidRPr="00AE09DE" w:rsidRDefault="00913BE8" w:rsidP="001025DA">
            <w:pPr>
              <w:pStyle w:val="CDIFigure-Table-BodyTextCentre"/>
            </w:pPr>
            <w:r w:rsidRPr="00AE09DE">
              <w:t>0.73–0.90</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0F02F78" w14:textId="77777777" w:rsidR="00913BE8" w:rsidRPr="00AE09DE" w:rsidRDefault="00913BE8" w:rsidP="001025DA">
            <w:pPr>
              <w:pStyle w:val="CDIFigure-Table-BodyTextCentre"/>
            </w:pPr>
            <w:r w:rsidRPr="00AE09DE">
              <w:t>0.80</w:t>
            </w:r>
          </w:p>
        </w:tc>
        <w:tc>
          <w:tcPr>
            <w:tcW w:w="1020" w:type="dxa"/>
            <w:shd w:val="clear" w:color="auto" w:fill="93F9F9" w:themeFill="text2" w:themeFillTint="40"/>
            <w:tcMar>
              <w:top w:w="96" w:type="dxa"/>
              <w:left w:w="113" w:type="dxa"/>
              <w:bottom w:w="96" w:type="dxa"/>
              <w:right w:w="113" w:type="dxa"/>
            </w:tcMar>
            <w:vAlign w:val="center"/>
          </w:tcPr>
          <w:p w14:paraId="3959CD9C" w14:textId="77777777" w:rsidR="00913BE8" w:rsidRPr="00AE09DE" w:rsidRDefault="00913BE8" w:rsidP="001025DA">
            <w:pPr>
              <w:pStyle w:val="CDIFigure-Table-BodyTextCentre"/>
            </w:pPr>
            <w:r w:rsidRPr="00AE09DE">
              <w:t>0.72–0.88</w:t>
            </w:r>
          </w:p>
        </w:tc>
      </w:tr>
      <w:tr w:rsidR="00913BE8" w:rsidRPr="00AE09DE" w14:paraId="2B48B29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D5EEA2C"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5D4A552D" w14:textId="77777777" w:rsidR="00913BE8" w:rsidRPr="00AE09DE" w:rsidRDefault="00913BE8" w:rsidP="001025DA">
            <w:pPr>
              <w:pStyle w:val="CDIFigure-Table-BodyTextLeft"/>
            </w:pPr>
            <w:r w:rsidRPr="00AE09DE">
              <w:t>Hepatitis C (newly acquired)</w:t>
            </w:r>
          </w:p>
        </w:tc>
        <w:tc>
          <w:tcPr>
            <w:tcW w:w="737" w:type="dxa"/>
            <w:tcMar>
              <w:top w:w="96" w:type="dxa"/>
              <w:left w:w="113" w:type="dxa"/>
              <w:bottom w:w="96" w:type="dxa"/>
              <w:right w:w="113" w:type="dxa"/>
            </w:tcMar>
            <w:vAlign w:val="center"/>
          </w:tcPr>
          <w:p w14:paraId="07B28C39" w14:textId="77777777" w:rsidR="00913BE8" w:rsidRPr="00AE09DE" w:rsidRDefault="00913BE8" w:rsidP="001025DA">
            <w:pPr>
              <w:pStyle w:val="CDIFigure-Table-BodyTextCentre"/>
            </w:pPr>
            <w:r w:rsidRPr="00AE09DE">
              <w:t>3.10</w:t>
            </w:r>
          </w:p>
        </w:tc>
        <w:tc>
          <w:tcPr>
            <w:tcW w:w="794" w:type="dxa"/>
            <w:tcMar>
              <w:top w:w="96" w:type="dxa"/>
              <w:left w:w="113" w:type="dxa"/>
              <w:bottom w:w="96" w:type="dxa"/>
              <w:right w:w="113" w:type="dxa"/>
            </w:tcMar>
            <w:vAlign w:val="center"/>
          </w:tcPr>
          <w:p w14:paraId="67BA1742" w14:textId="77777777" w:rsidR="00913BE8" w:rsidRPr="00AE09DE" w:rsidRDefault="00913BE8" w:rsidP="001025DA">
            <w:pPr>
              <w:pStyle w:val="CDIFigure-Table-BodyTextCentre"/>
            </w:pPr>
            <w:r w:rsidRPr="00AE09DE">
              <w:t>2.90</w:t>
            </w:r>
          </w:p>
        </w:tc>
        <w:tc>
          <w:tcPr>
            <w:tcW w:w="737" w:type="dxa"/>
            <w:tcMar>
              <w:top w:w="96" w:type="dxa"/>
              <w:left w:w="113" w:type="dxa"/>
              <w:bottom w:w="96" w:type="dxa"/>
              <w:right w:w="113" w:type="dxa"/>
            </w:tcMar>
            <w:vAlign w:val="center"/>
          </w:tcPr>
          <w:p w14:paraId="691B33CA" w14:textId="77777777" w:rsidR="00913BE8" w:rsidRPr="00AE09DE" w:rsidRDefault="00913BE8" w:rsidP="001025DA">
            <w:pPr>
              <w:pStyle w:val="CDIFigure-Table-BodyTextCentre"/>
            </w:pPr>
            <w:r w:rsidRPr="00AE09DE">
              <w:t>2.63</w:t>
            </w:r>
          </w:p>
        </w:tc>
        <w:tc>
          <w:tcPr>
            <w:tcW w:w="737" w:type="dxa"/>
            <w:tcBorders>
              <w:right w:val="single" w:sz="4" w:space="0" w:color="033636" w:themeColor="text2"/>
            </w:tcBorders>
            <w:tcMar>
              <w:top w:w="96" w:type="dxa"/>
              <w:left w:w="113" w:type="dxa"/>
              <w:bottom w:w="96" w:type="dxa"/>
              <w:right w:w="113" w:type="dxa"/>
            </w:tcMar>
            <w:vAlign w:val="center"/>
          </w:tcPr>
          <w:p w14:paraId="539EAD0A" w14:textId="77777777" w:rsidR="00913BE8" w:rsidRPr="00AE09DE" w:rsidRDefault="00913BE8" w:rsidP="001025DA">
            <w:pPr>
              <w:pStyle w:val="CDIFigure-Table-BodyTextCentre"/>
            </w:pPr>
            <w:r w:rsidRPr="00AE09DE">
              <w:t>2.82</w:t>
            </w:r>
          </w:p>
        </w:tc>
        <w:tc>
          <w:tcPr>
            <w:tcW w:w="737" w:type="dxa"/>
            <w:tcBorders>
              <w:left w:val="single" w:sz="4" w:space="0" w:color="033636" w:themeColor="text2"/>
            </w:tcBorders>
            <w:tcMar>
              <w:top w:w="96" w:type="dxa"/>
              <w:left w:w="113" w:type="dxa"/>
              <w:bottom w:w="96" w:type="dxa"/>
              <w:right w:w="113" w:type="dxa"/>
            </w:tcMar>
            <w:vAlign w:val="center"/>
          </w:tcPr>
          <w:p w14:paraId="09613E9D" w14:textId="77777777" w:rsidR="00913BE8" w:rsidRPr="00AE09DE" w:rsidRDefault="00913BE8" w:rsidP="001025DA">
            <w:pPr>
              <w:pStyle w:val="CDIFigure-Table-BodyTextCentre"/>
            </w:pPr>
            <w:r w:rsidRPr="00AE09DE">
              <w:t>0.85</w:t>
            </w:r>
          </w:p>
        </w:tc>
        <w:tc>
          <w:tcPr>
            <w:tcW w:w="1021" w:type="dxa"/>
            <w:tcBorders>
              <w:right w:val="single" w:sz="4" w:space="0" w:color="033636" w:themeColor="text2"/>
            </w:tcBorders>
            <w:tcMar>
              <w:top w:w="96" w:type="dxa"/>
              <w:left w:w="113" w:type="dxa"/>
              <w:bottom w:w="96" w:type="dxa"/>
              <w:right w:w="113" w:type="dxa"/>
            </w:tcMar>
            <w:vAlign w:val="center"/>
          </w:tcPr>
          <w:p w14:paraId="72ABC8AD" w14:textId="77777777" w:rsidR="00913BE8" w:rsidRPr="00AE09DE" w:rsidRDefault="00913BE8" w:rsidP="001025DA">
            <w:pPr>
              <w:pStyle w:val="CDIFigure-Table-BodyTextCentre"/>
            </w:pPr>
            <w:r w:rsidRPr="00AE09DE">
              <w:t>0.64–1.13</w:t>
            </w:r>
          </w:p>
        </w:tc>
        <w:tc>
          <w:tcPr>
            <w:tcW w:w="737" w:type="dxa"/>
            <w:tcBorders>
              <w:left w:val="single" w:sz="4" w:space="0" w:color="033636" w:themeColor="text2"/>
            </w:tcBorders>
            <w:tcMar>
              <w:top w:w="96" w:type="dxa"/>
              <w:left w:w="113" w:type="dxa"/>
              <w:bottom w:w="96" w:type="dxa"/>
              <w:right w:w="113" w:type="dxa"/>
            </w:tcMar>
            <w:vAlign w:val="center"/>
          </w:tcPr>
          <w:p w14:paraId="433E852A" w14:textId="77777777" w:rsidR="00913BE8" w:rsidRPr="00AE09DE" w:rsidRDefault="00913BE8" w:rsidP="001025DA">
            <w:pPr>
              <w:pStyle w:val="CDIFigure-Table-BodyTextCentre"/>
            </w:pPr>
            <w:r w:rsidRPr="00AE09DE">
              <w:t>0.91</w:t>
            </w:r>
          </w:p>
        </w:tc>
        <w:tc>
          <w:tcPr>
            <w:tcW w:w="1020" w:type="dxa"/>
            <w:tcBorders>
              <w:right w:val="single" w:sz="4" w:space="0" w:color="033636" w:themeColor="text2"/>
            </w:tcBorders>
            <w:tcMar>
              <w:top w:w="96" w:type="dxa"/>
              <w:left w:w="113" w:type="dxa"/>
              <w:bottom w:w="96" w:type="dxa"/>
              <w:right w:w="113" w:type="dxa"/>
            </w:tcMar>
            <w:vAlign w:val="center"/>
          </w:tcPr>
          <w:p w14:paraId="508780E3" w14:textId="77777777" w:rsidR="00913BE8" w:rsidRPr="00AE09DE" w:rsidRDefault="00913BE8" w:rsidP="001025DA">
            <w:pPr>
              <w:pStyle w:val="CDIFigure-Table-BodyTextCentre"/>
            </w:pPr>
            <w:r w:rsidRPr="00AE09DE">
              <w:t>0.68–1.21</w:t>
            </w:r>
          </w:p>
        </w:tc>
        <w:tc>
          <w:tcPr>
            <w:tcW w:w="737" w:type="dxa"/>
            <w:tcBorders>
              <w:left w:val="single" w:sz="4" w:space="0" w:color="033636" w:themeColor="text2"/>
            </w:tcBorders>
            <w:tcMar>
              <w:top w:w="96" w:type="dxa"/>
              <w:left w:w="113" w:type="dxa"/>
              <w:bottom w:w="96" w:type="dxa"/>
              <w:right w:w="113" w:type="dxa"/>
            </w:tcMar>
            <w:vAlign w:val="center"/>
          </w:tcPr>
          <w:p w14:paraId="79685C21" w14:textId="77777777" w:rsidR="00913BE8" w:rsidRPr="00AE09DE" w:rsidRDefault="00913BE8" w:rsidP="001025DA">
            <w:pPr>
              <w:pStyle w:val="CDIFigure-Table-BodyTextCentre"/>
            </w:pPr>
            <w:r w:rsidRPr="00AE09DE">
              <w:t>0.91</w:t>
            </w:r>
          </w:p>
        </w:tc>
        <w:tc>
          <w:tcPr>
            <w:tcW w:w="1021" w:type="dxa"/>
            <w:tcBorders>
              <w:right w:val="single" w:sz="4" w:space="0" w:color="033636" w:themeColor="text2"/>
            </w:tcBorders>
            <w:tcMar>
              <w:top w:w="96" w:type="dxa"/>
              <w:left w:w="113" w:type="dxa"/>
              <w:bottom w:w="96" w:type="dxa"/>
              <w:right w:w="113" w:type="dxa"/>
            </w:tcMar>
            <w:vAlign w:val="center"/>
          </w:tcPr>
          <w:p w14:paraId="33A34BC2" w14:textId="77777777" w:rsidR="00913BE8" w:rsidRPr="00AE09DE" w:rsidRDefault="00913BE8" w:rsidP="001025DA">
            <w:pPr>
              <w:pStyle w:val="CDIFigure-Table-BodyTextCentre"/>
            </w:pPr>
            <w:r w:rsidRPr="00AE09DE">
              <w:t>0.72–1.15</w:t>
            </w:r>
          </w:p>
        </w:tc>
        <w:tc>
          <w:tcPr>
            <w:tcW w:w="737" w:type="dxa"/>
            <w:tcBorders>
              <w:left w:val="single" w:sz="4" w:space="0" w:color="033636" w:themeColor="text2"/>
            </w:tcBorders>
            <w:tcMar>
              <w:top w:w="96" w:type="dxa"/>
              <w:left w:w="113" w:type="dxa"/>
              <w:bottom w:w="96" w:type="dxa"/>
              <w:right w:w="113" w:type="dxa"/>
            </w:tcMar>
            <w:vAlign w:val="center"/>
          </w:tcPr>
          <w:p w14:paraId="1A9E2F5D" w14:textId="77777777" w:rsidR="00913BE8" w:rsidRPr="00AE09DE" w:rsidRDefault="00913BE8" w:rsidP="001025DA">
            <w:pPr>
              <w:pStyle w:val="CDIFigure-Table-BodyTextCentre"/>
            </w:pPr>
            <w:r w:rsidRPr="00AE09DE">
              <w:t>0.97</w:t>
            </w:r>
          </w:p>
        </w:tc>
        <w:tc>
          <w:tcPr>
            <w:tcW w:w="1020" w:type="dxa"/>
            <w:tcMar>
              <w:top w:w="96" w:type="dxa"/>
              <w:left w:w="113" w:type="dxa"/>
              <w:bottom w:w="96" w:type="dxa"/>
              <w:right w:w="113" w:type="dxa"/>
            </w:tcMar>
            <w:vAlign w:val="center"/>
          </w:tcPr>
          <w:p w14:paraId="418BCD1D" w14:textId="77777777" w:rsidR="00913BE8" w:rsidRPr="00AE09DE" w:rsidRDefault="00913BE8" w:rsidP="001025DA">
            <w:pPr>
              <w:pStyle w:val="CDIFigure-Table-BodyTextCentre"/>
            </w:pPr>
            <w:r w:rsidRPr="00AE09DE">
              <w:t>0.77–1.23</w:t>
            </w:r>
          </w:p>
        </w:tc>
      </w:tr>
      <w:tr w:rsidR="00913BE8" w:rsidRPr="00AE09DE" w14:paraId="4AFCE7E6"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EF74722"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0F70B0C1" w14:textId="77777777" w:rsidR="00913BE8" w:rsidRPr="00AE09DE" w:rsidRDefault="00913BE8" w:rsidP="001025DA">
            <w:pPr>
              <w:pStyle w:val="CDIFigure-Table-BodyTextLeft"/>
            </w:pPr>
            <w:r w:rsidRPr="00AE09DE">
              <w:t>Hepatitis C (unspecified)</w:t>
            </w:r>
          </w:p>
        </w:tc>
        <w:tc>
          <w:tcPr>
            <w:tcW w:w="737" w:type="dxa"/>
            <w:tcMar>
              <w:top w:w="96" w:type="dxa"/>
              <w:left w:w="113" w:type="dxa"/>
              <w:bottom w:w="96" w:type="dxa"/>
              <w:right w:w="113" w:type="dxa"/>
            </w:tcMar>
            <w:vAlign w:val="center"/>
          </w:tcPr>
          <w:p w14:paraId="7139A7F0" w14:textId="77777777" w:rsidR="00913BE8" w:rsidRPr="00AE09DE" w:rsidRDefault="00913BE8" w:rsidP="001025DA">
            <w:pPr>
              <w:pStyle w:val="CDIFigure-Table-BodyTextCentre"/>
            </w:pPr>
            <w:r w:rsidRPr="00AE09DE">
              <w:t>33</w:t>
            </w:r>
          </w:p>
        </w:tc>
        <w:tc>
          <w:tcPr>
            <w:tcW w:w="794" w:type="dxa"/>
            <w:tcMar>
              <w:top w:w="96" w:type="dxa"/>
              <w:left w:w="113" w:type="dxa"/>
              <w:bottom w:w="96" w:type="dxa"/>
              <w:right w:w="113" w:type="dxa"/>
            </w:tcMar>
            <w:vAlign w:val="center"/>
          </w:tcPr>
          <w:p w14:paraId="4BEC9B7F" w14:textId="77777777" w:rsidR="00913BE8" w:rsidRPr="00AE09DE" w:rsidRDefault="00913BE8" w:rsidP="001025DA">
            <w:pPr>
              <w:pStyle w:val="CDIFigure-Table-BodyTextCentre"/>
            </w:pPr>
            <w:r w:rsidRPr="00AE09DE">
              <w:t>40</w:t>
            </w:r>
          </w:p>
        </w:tc>
        <w:tc>
          <w:tcPr>
            <w:tcW w:w="737" w:type="dxa"/>
            <w:tcMar>
              <w:top w:w="96" w:type="dxa"/>
              <w:left w:w="113" w:type="dxa"/>
              <w:bottom w:w="96" w:type="dxa"/>
              <w:right w:w="113" w:type="dxa"/>
            </w:tcMar>
            <w:vAlign w:val="center"/>
          </w:tcPr>
          <w:p w14:paraId="4F1633F9" w14:textId="77777777" w:rsidR="00913BE8" w:rsidRPr="00AE09DE" w:rsidRDefault="00913BE8" w:rsidP="001025DA">
            <w:pPr>
              <w:pStyle w:val="CDIFigure-Table-BodyTextCentre"/>
            </w:pPr>
            <w:r w:rsidRPr="00AE09DE">
              <w:t>29</w:t>
            </w:r>
          </w:p>
        </w:tc>
        <w:tc>
          <w:tcPr>
            <w:tcW w:w="737" w:type="dxa"/>
            <w:tcBorders>
              <w:right w:val="single" w:sz="4" w:space="0" w:color="033636" w:themeColor="text2"/>
            </w:tcBorders>
            <w:tcMar>
              <w:top w:w="96" w:type="dxa"/>
              <w:left w:w="113" w:type="dxa"/>
              <w:bottom w:w="96" w:type="dxa"/>
              <w:right w:w="113" w:type="dxa"/>
            </w:tcMar>
            <w:vAlign w:val="center"/>
          </w:tcPr>
          <w:p w14:paraId="21D4B352" w14:textId="77777777" w:rsidR="00913BE8" w:rsidRPr="00AE09DE" w:rsidRDefault="00913BE8" w:rsidP="001025DA">
            <w:pPr>
              <w:pStyle w:val="CDIFigure-Table-BodyTextCentre"/>
            </w:pPr>
            <w:r w:rsidRPr="00AE09DE">
              <w:t>27</w:t>
            </w:r>
          </w:p>
        </w:tc>
        <w:tc>
          <w:tcPr>
            <w:tcW w:w="737" w:type="dxa"/>
            <w:tcBorders>
              <w:left w:val="single" w:sz="4" w:space="0" w:color="033636" w:themeColor="text2"/>
            </w:tcBorders>
            <w:tcMar>
              <w:top w:w="96" w:type="dxa"/>
              <w:left w:w="113" w:type="dxa"/>
              <w:bottom w:w="96" w:type="dxa"/>
              <w:right w:w="113" w:type="dxa"/>
            </w:tcMar>
            <w:vAlign w:val="center"/>
          </w:tcPr>
          <w:p w14:paraId="77F01EC9" w14:textId="77777777" w:rsidR="00913BE8" w:rsidRPr="00AE09DE" w:rsidRDefault="00913BE8" w:rsidP="001025DA">
            <w:pPr>
              <w:pStyle w:val="CDIFigure-Table-BodyTextCentre"/>
            </w:pPr>
            <w:r w:rsidRPr="00AE09DE">
              <w:t>0.87</w:t>
            </w:r>
          </w:p>
        </w:tc>
        <w:tc>
          <w:tcPr>
            <w:tcW w:w="1021" w:type="dxa"/>
            <w:tcBorders>
              <w:right w:val="single" w:sz="4" w:space="0" w:color="033636" w:themeColor="text2"/>
            </w:tcBorders>
            <w:tcMar>
              <w:top w:w="96" w:type="dxa"/>
              <w:left w:w="113" w:type="dxa"/>
              <w:bottom w:w="96" w:type="dxa"/>
              <w:right w:w="113" w:type="dxa"/>
            </w:tcMar>
            <w:vAlign w:val="center"/>
          </w:tcPr>
          <w:p w14:paraId="51DA0898" w14:textId="77777777" w:rsidR="00913BE8" w:rsidRPr="00AE09DE" w:rsidRDefault="00913BE8" w:rsidP="001025DA">
            <w:pPr>
              <w:pStyle w:val="CDIFigure-Table-BodyTextCentre"/>
            </w:pPr>
            <w:r w:rsidRPr="00AE09DE">
              <w:t>0.75–1.01</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488878F" w14:textId="77777777" w:rsidR="00913BE8" w:rsidRPr="00AE09DE" w:rsidRDefault="00913BE8" w:rsidP="001025DA">
            <w:pPr>
              <w:pStyle w:val="CDIFigure-Table-BodyTextCentre"/>
            </w:pPr>
            <w:r w:rsidRPr="00AE09DE">
              <w:t>0.82</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4C558B4" w14:textId="77777777" w:rsidR="00913BE8" w:rsidRPr="00AE09DE" w:rsidRDefault="00913BE8" w:rsidP="001025DA">
            <w:pPr>
              <w:pStyle w:val="CDIFigure-Table-BodyTextCentre"/>
            </w:pPr>
            <w:r w:rsidRPr="00AE09DE">
              <w:t>0.70–0.96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51E8F6D6" w14:textId="77777777" w:rsidR="00913BE8" w:rsidRPr="00AE09DE" w:rsidRDefault="00913BE8" w:rsidP="001025DA">
            <w:pPr>
              <w:pStyle w:val="CDIFigure-Table-BodyTextCentre"/>
            </w:pPr>
            <w:r w:rsidRPr="00AE09DE">
              <w:t>0.72</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1525CE9" w14:textId="77777777" w:rsidR="00913BE8" w:rsidRPr="00AE09DE" w:rsidRDefault="00913BE8" w:rsidP="001025DA">
            <w:pPr>
              <w:pStyle w:val="CDIFigure-Table-BodyTextCentre"/>
            </w:pPr>
            <w:r w:rsidRPr="00AE09DE">
              <w:t>0.59–0.88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FC3496E" w14:textId="77777777" w:rsidR="00913BE8" w:rsidRPr="00AE09DE" w:rsidRDefault="00913BE8" w:rsidP="001025DA">
            <w:pPr>
              <w:pStyle w:val="CDIFigure-Table-BodyTextCentre"/>
            </w:pPr>
            <w:r w:rsidRPr="00AE09DE">
              <w:t>0.68</w:t>
            </w:r>
          </w:p>
        </w:tc>
        <w:tc>
          <w:tcPr>
            <w:tcW w:w="1020" w:type="dxa"/>
            <w:shd w:val="clear" w:color="auto" w:fill="93F9F9" w:themeFill="text2" w:themeFillTint="40"/>
            <w:tcMar>
              <w:top w:w="96" w:type="dxa"/>
              <w:left w:w="113" w:type="dxa"/>
              <w:bottom w:w="96" w:type="dxa"/>
              <w:right w:w="113" w:type="dxa"/>
            </w:tcMar>
            <w:vAlign w:val="center"/>
          </w:tcPr>
          <w:p w14:paraId="01E50BA8" w14:textId="77777777" w:rsidR="00913BE8" w:rsidRPr="00AE09DE" w:rsidRDefault="00913BE8" w:rsidP="001025DA">
            <w:pPr>
              <w:pStyle w:val="CDIFigure-Table-BodyTextCentre"/>
            </w:pPr>
            <w:r w:rsidRPr="00AE09DE">
              <w:t>0.55–0.83</w:t>
            </w:r>
          </w:p>
        </w:tc>
      </w:tr>
      <w:tr w:rsidR="00913BE8" w:rsidRPr="00AE09DE" w14:paraId="51EDED90"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359416A" w14:textId="77777777" w:rsidR="00913BE8" w:rsidRPr="00AE09DE" w:rsidRDefault="00913BE8" w:rsidP="001025DA">
            <w:pPr>
              <w:pStyle w:val="CDIFigure-Table-BodyTextLeft"/>
            </w:pPr>
          </w:p>
        </w:tc>
        <w:tc>
          <w:tcPr>
            <w:tcW w:w="2891" w:type="dxa"/>
            <w:tcBorders>
              <w:bottom w:val="single" w:sz="4" w:space="0" w:color="033636" w:themeColor="text2"/>
            </w:tcBorders>
            <w:tcMar>
              <w:top w:w="96" w:type="dxa"/>
              <w:left w:w="113" w:type="dxa"/>
              <w:bottom w:w="96" w:type="dxa"/>
              <w:right w:w="113" w:type="dxa"/>
            </w:tcMar>
            <w:vAlign w:val="center"/>
          </w:tcPr>
          <w:p w14:paraId="722F6EB3" w14:textId="77777777" w:rsidR="00913BE8" w:rsidRPr="00AE09DE" w:rsidRDefault="00913BE8" w:rsidP="001025DA">
            <w:pPr>
              <w:pStyle w:val="CDIFigure-Table-BodyTextLeft"/>
            </w:pPr>
            <w:r w:rsidRPr="00AE09DE">
              <w:t>Hepatitis D</w:t>
            </w:r>
          </w:p>
        </w:tc>
        <w:tc>
          <w:tcPr>
            <w:tcW w:w="737" w:type="dxa"/>
            <w:tcBorders>
              <w:bottom w:val="single" w:sz="4" w:space="0" w:color="033636" w:themeColor="text2"/>
            </w:tcBorders>
            <w:tcMar>
              <w:top w:w="96" w:type="dxa"/>
              <w:left w:w="113" w:type="dxa"/>
              <w:bottom w:w="96" w:type="dxa"/>
              <w:right w:w="113" w:type="dxa"/>
            </w:tcMar>
            <w:vAlign w:val="center"/>
          </w:tcPr>
          <w:p w14:paraId="20B6B826" w14:textId="77777777" w:rsidR="00913BE8" w:rsidRPr="00AE09DE" w:rsidRDefault="00913BE8" w:rsidP="001025DA">
            <w:pPr>
              <w:pStyle w:val="CDIFigure-Table-BodyTextCentre"/>
            </w:pPr>
            <w:r w:rsidRPr="00AE09DE">
              <w:t>0.27</w:t>
            </w:r>
          </w:p>
        </w:tc>
        <w:tc>
          <w:tcPr>
            <w:tcW w:w="794" w:type="dxa"/>
            <w:tcBorders>
              <w:bottom w:val="single" w:sz="4" w:space="0" w:color="033636" w:themeColor="text2"/>
            </w:tcBorders>
            <w:tcMar>
              <w:top w:w="96" w:type="dxa"/>
              <w:left w:w="113" w:type="dxa"/>
              <w:bottom w:w="96" w:type="dxa"/>
              <w:right w:w="113" w:type="dxa"/>
            </w:tcMar>
            <w:vAlign w:val="center"/>
          </w:tcPr>
          <w:p w14:paraId="1CC34BAB" w14:textId="77777777" w:rsidR="00913BE8" w:rsidRPr="00AE09DE" w:rsidRDefault="00913BE8" w:rsidP="001025DA">
            <w:pPr>
              <w:pStyle w:val="CDIFigure-Table-BodyTextCentre"/>
            </w:pPr>
            <w:r w:rsidRPr="00AE09DE">
              <w:t>0.27</w:t>
            </w:r>
          </w:p>
        </w:tc>
        <w:tc>
          <w:tcPr>
            <w:tcW w:w="737" w:type="dxa"/>
            <w:tcBorders>
              <w:bottom w:val="single" w:sz="4" w:space="0" w:color="033636" w:themeColor="text2"/>
            </w:tcBorders>
            <w:tcMar>
              <w:top w:w="96" w:type="dxa"/>
              <w:left w:w="113" w:type="dxa"/>
              <w:bottom w:w="96" w:type="dxa"/>
              <w:right w:w="113" w:type="dxa"/>
            </w:tcMar>
            <w:vAlign w:val="center"/>
          </w:tcPr>
          <w:p w14:paraId="0B3AAC00" w14:textId="77777777" w:rsidR="00913BE8" w:rsidRPr="00AE09DE" w:rsidRDefault="00913BE8" w:rsidP="001025DA">
            <w:pPr>
              <w:pStyle w:val="CDIFigure-Table-BodyTextCentre"/>
            </w:pPr>
            <w:r w:rsidRPr="00AE09DE">
              <w:t>0.27</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64E53D69" w14:textId="77777777" w:rsidR="00913BE8" w:rsidRPr="00AE09DE" w:rsidRDefault="00913BE8" w:rsidP="001025DA">
            <w:pPr>
              <w:pStyle w:val="CDIFigure-Table-BodyTextCentre"/>
            </w:pPr>
            <w:r w:rsidRPr="00AE09DE">
              <w:t>0.33</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4971D4F0" w14:textId="77777777" w:rsidR="00913BE8" w:rsidRPr="00AE09DE" w:rsidRDefault="00913BE8" w:rsidP="001025DA">
            <w:pPr>
              <w:pStyle w:val="CDIFigure-Table-BodyTextCentre"/>
            </w:pPr>
            <w:r w:rsidRPr="00AE09DE">
              <w:t>1.02</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2F02D554" w14:textId="77777777" w:rsidR="00913BE8" w:rsidRPr="00AE09DE" w:rsidRDefault="00913BE8" w:rsidP="001025DA">
            <w:pPr>
              <w:pStyle w:val="CDIFigure-Table-BodyTextCentre"/>
            </w:pPr>
            <w:r w:rsidRPr="00AE09DE">
              <w:t>0.73–1.43</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1ABEBEB3" w14:textId="77777777" w:rsidR="00913BE8" w:rsidRPr="00AE09DE" w:rsidRDefault="00913BE8" w:rsidP="001025DA">
            <w:pPr>
              <w:pStyle w:val="CDIFigure-Table-BodyTextCentre"/>
            </w:pPr>
            <w:r w:rsidRPr="00AE09DE">
              <w:t>1.24</w:t>
            </w:r>
          </w:p>
        </w:tc>
        <w:tc>
          <w:tcPr>
            <w:tcW w:w="1020"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22A6A1EF" w14:textId="77777777" w:rsidR="00913BE8" w:rsidRPr="00AE09DE" w:rsidRDefault="00913BE8" w:rsidP="001025DA">
            <w:pPr>
              <w:pStyle w:val="CDIFigure-Table-BodyTextCentre"/>
            </w:pPr>
            <w:r w:rsidRPr="00AE09DE">
              <w:t>0.90–1.71</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6D9F1D8C" w14:textId="77777777" w:rsidR="00913BE8" w:rsidRPr="00AE09DE" w:rsidRDefault="00913BE8" w:rsidP="001025DA">
            <w:pPr>
              <w:pStyle w:val="CDIFigure-Table-BodyTextCentre"/>
            </w:pPr>
            <w:r w:rsidRPr="00AE09DE">
              <w:t>1.02</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0C3D67E4" w14:textId="77777777" w:rsidR="00913BE8" w:rsidRPr="00AE09DE" w:rsidRDefault="00913BE8" w:rsidP="001025DA">
            <w:pPr>
              <w:pStyle w:val="CDIFigure-Table-BodyTextCentre"/>
            </w:pPr>
            <w:r w:rsidRPr="00AE09DE">
              <w:t>0.79–1.32</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2AC75C30" w14:textId="77777777" w:rsidR="00913BE8" w:rsidRPr="00AE09DE" w:rsidRDefault="00913BE8" w:rsidP="001025DA">
            <w:pPr>
              <w:pStyle w:val="CDIFigure-Table-BodyTextCentre"/>
            </w:pPr>
            <w:r w:rsidRPr="00AE09DE">
              <w:t>1.23</w:t>
            </w:r>
          </w:p>
        </w:tc>
        <w:tc>
          <w:tcPr>
            <w:tcW w:w="1020" w:type="dxa"/>
            <w:tcBorders>
              <w:bottom w:val="single" w:sz="4" w:space="0" w:color="033636" w:themeColor="text2"/>
            </w:tcBorders>
            <w:tcMar>
              <w:top w:w="96" w:type="dxa"/>
              <w:left w:w="113" w:type="dxa"/>
              <w:bottom w:w="96" w:type="dxa"/>
              <w:right w:w="113" w:type="dxa"/>
            </w:tcMar>
            <w:vAlign w:val="center"/>
          </w:tcPr>
          <w:p w14:paraId="3D28666B" w14:textId="77777777" w:rsidR="00913BE8" w:rsidRPr="00AE09DE" w:rsidRDefault="00913BE8" w:rsidP="001025DA">
            <w:pPr>
              <w:pStyle w:val="CDIFigure-Table-BodyTextCentre"/>
            </w:pPr>
            <w:r w:rsidRPr="00AE09DE">
              <w:t>0.97–1.56</w:t>
            </w:r>
          </w:p>
        </w:tc>
      </w:tr>
      <w:tr w:rsidR="00913BE8" w:rsidRPr="00AE09DE" w14:paraId="20959910"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2FBF8D39" w14:textId="77777777" w:rsidR="00913BE8" w:rsidRPr="00AE09DE" w:rsidRDefault="00913BE8" w:rsidP="001025DA">
            <w:pPr>
              <w:pStyle w:val="CDIFigure-Table-BodyTextLeft"/>
            </w:pPr>
            <w:r w:rsidRPr="00AE09DE">
              <w:t>Gastrointestinal diseases</w:t>
            </w:r>
          </w:p>
        </w:tc>
        <w:tc>
          <w:tcPr>
            <w:tcW w:w="2891" w:type="dxa"/>
            <w:tcBorders>
              <w:top w:val="single" w:sz="4" w:space="0" w:color="033636" w:themeColor="text2"/>
            </w:tcBorders>
            <w:tcMar>
              <w:top w:w="96" w:type="dxa"/>
              <w:left w:w="113" w:type="dxa"/>
              <w:bottom w:w="96" w:type="dxa"/>
              <w:right w:w="113" w:type="dxa"/>
            </w:tcMar>
            <w:vAlign w:val="center"/>
          </w:tcPr>
          <w:p w14:paraId="62998A5D" w14:textId="77777777" w:rsidR="00913BE8" w:rsidRPr="00AE09DE" w:rsidRDefault="00913BE8" w:rsidP="001025DA">
            <w:pPr>
              <w:pStyle w:val="CDIFigure-Table-BodyTextLeft"/>
            </w:pPr>
            <w:r w:rsidRPr="00AE09DE">
              <w:t>Campylobacteriosis</w:t>
            </w:r>
            <w:r w:rsidRPr="00263EAD">
              <w:rPr>
                <w:vertAlign w:val="superscript"/>
              </w:rPr>
              <w:t>c</w:t>
            </w:r>
          </w:p>
        </w:tc>
        <w:tc>
          <w:tcPr>
            <w:tcW w:w="737" w:type="dxa"/>
            <w:tcBorders>
              <w:top w:val="single" w:sz="4" w:space="0" w:color="033636" w:themeColor="text2"/>
            </w:tcBorders>
            <w:tcMar>
              <w:top w:w="96" w:type="dxa"/>
              <w:left w:w="113" w:type="dxa"/>
              <w:bottom w:w="96" w:type="dxa"/>
              <w:right w:w="113" w:type="dxa"/>
            </w:tcMar>
            <w:vAlign w:val="center"/>
          </w:tcPr>
          <w:p w14:paraId="375DF6A4" w14:textId="77777777" w:rsidR="00913BE8" w:rsidRPr="00AE09DE" w:rsidRDefault="00913BE8" w:rsidP="001025DA">
            <w:pPr>
              <w:pStyle w:val="CDIFigure-Table-BodyTextCentre"/>
            </w:pPr>
            <w:r w:rsidRPr="00AE09DE">
              <w:t>141</w:t>
            </w:r>
          </w:p>
        </w:tc>
        <w:tc>
          <w:tcPr>
            <w:tcW w:w="794" w:type="dxa"/>
            <w:tcBorders>
              <w:top w:val="single" w:sz="4" w:space="0" w:color="033636" w:themeColor="text2"/>
            </w:tcBorders>
            <w:tcMar>
              <w:top w:w="96" w:type="dxa"/>
              <w:left w:w="113" w:type="dxa"/>
              <w:bottom w:w="96" w:type="dxa"/>
              <w:right w:w="113" w:type="dxa"/>
            </w:tcMar>
            <w:vAlign w:val="center"/>
          </w:tcPr>
          <w:p w14:paraId="2ACBB7CA" w14:textId="77777777" w:rsidR="00913BE8" w:rsidRPr="00AE09DE" w:rsidRDefault="00913BE8" w:rsidP="001025DA">
            <w:pPr>
              <w:pStyle w:val="CDIFigure-Table-BodyTextCentre"/>
            </w:pPr>
            <w:r w:rsidRPr="00AE09DE">
              <w:t>116</w:t>
            </w:r>
          </w:p>
        </w:tc>
        <w:tc>
          <w:tcPr>
            <w:tcW w:w="737" w:type="dxa"/>
            <w:tcBorders>
              <w:top w:val="single" w:sz="4" w:space="0" w:color="033636" w:themeColor="text2"/>
            </w:tcBorders>
            <w:tcMar>
              <w:top w:w="96" w:type="dxa"/>
              <w:left w:w="113" w:type="dxa"/>
              <w:bottom w:w="96" w:type="dxa"/>
              <w:right w:w="113" w:type="dxa"/>
            </w:tcMar>
            <w:vAlign w:val="center"/>
          </w:tcPr>
          <w:p w14:paraId="64567B6D" w14:textId="77777777" w:rsidR="00913BE8" w:rsidRPr="00AE09DE" w:rsidRDefault="00913BE8" w:rsidP="001025DA">
            <w:pPr>
              <w:pStyle w:val="CDIFigure-Table-BodyTextCentre"/>
            </w:pPr>
            <w:r w:rsidRPr="00AE09DE">
              <w:t>124</w:t>
            </w:r>
          </w:p>
        </w:tc>
        <w:tc>
          <w:tcPr>
            <w:tcW w:w="737"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64C9E388" w14:textId="77777777" w:rsidR="00913BE8" w:rsidRPr="00AE09DE" w:rsidRDefault="00913BE8" w:rsidP="001025DA">
            <w:pPr>
              <w:pStyle w:val="CDIFigure-Table-BodyTextCentre"/>
            </w:pPr>
            <w:r w:rsidRPr="00AE09DE">
              <w:t>146</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302AB791" w14:textId="77777777" w:rsidR="00913BE8" w:rsidRPr="00AE09DE" w:rsidRDefault="00913BE8" w:rsidP="001025DA">
            <w:pPr>
              <w:pStyle w:val="CDIFigure-Table-BodyTextCentre"/>
            </w:pPr>
            <w:r w:rsidRPr="00AE09DE">
              <w:t>0.88</w:t>
            </w:r>
          </w:p>
        </w:tc>
        <w:tc>
          <w:tcPr>
            <w:tcW w:w="1021"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71D10360" w14:textId="77777777" w:rsidR="00913BE8" w:rsidRPr="00AE09DE" w:rsidRDefault="00913BE8" w:rsidP="001025DA">
            <w:pPr>
              <w:pStyle w:val="CDIFigure-Table-BodyTextCentre"/>
            </w:pPr>
            <w:r w:rsidRPr="00AE09DE">
              <w:t>0.67–1.16</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7A7B6193" w14:textId="77777777" w:rsidR="00913BE8" w:rsidRPr="00AE09DE" w:rsidRDefault="00913BE8" w:rsidP="001025DA">
            <w:pPr>
              <w:pStyle w:val="CDIFigure-Table-BodyTextCentre"/>
            </w:pPr>
            <w:r w:rsidRPr="00AE09DE">
              <w:t>1.03</w:t>
            </w:r>
          </w:p>
        </w:tc>
        <w:tc>
          <w:tcPr>
            <w:tcW w:w="1020"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6A5B2D3A" w14:textId="77777777" w:rsidR="00913BE8" w:rsidRPr="00AE09DE" w:rsidRDefault="00913BE8" w:rsidP="001025DA">
            <w:pPr>
              <w:pStyle w:val="CDIFigure-Table-BodyTextCentre"/>
            </w:pPr>
            <w:r w:rsidRPr="00AE09DE">
              <w:t>0.78–1.36</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46E2E868" w14:textId="77777777" w:rsidR="00913BE8" w:rsidRPr="00AE09DE" w:rsidRDefault="00913BE8" w:rsidP="001025DA">
            <w:pPr>
              <w:pStyle w:val="CDIFigure-Table-BodyTextCentre"/>
            </w:pPr>
            <w:r w:rsidRPr="00AE09DE">
              <w:t>1.07</w:t>
            </w:r>
          </w:p>
        </w:tc>
        <w:tc>
          <w:tcPr>
            <w:tcW w:w="1021"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09FAAB8F" w14:textId="77777777" w:rsidR="00913BE8" w:rsidRPr="00AE09DE" w:rsidRDefault="00913BE8" w:rsidP="001025DA">
            <w:pPr>
              <w:pStyle w:val="CDIFigure-Table-BodyTextCentre"/>
            </w:pPr>
            <w:r w:rsidRPr="00AE09DE">
              <w:t>0.80–1.42</w:t>
            </w:r>
          </w:p>
        </w:tc>
        <w:tc>
          <w:tcPr>
            <w:tcW w:w="737" w:type="dxa"/>
            <w:tcBorders>
              <w:top w:val="single" w:sz="4" w:space="0" w:color="033636" w:themeColor="text2"/>
              <w:left w:val="single" w:sz="4" w:space="0" w:color="033636" w:themeColor="text2"/>
            </w:tcBorders>
            <w:tcMar>
              <w:top w:w="96" w:type="dxa"/>
              <w:left w:w="113" w:type="dxa"/>
              <w:bottom w:w="96" w:type="dxa"/>
              <w:right w:w="113" w:type="dxa"/>
            </w:tcMar>
            <w:vAlign w:val="center"/>
          </w:tcPr>
          <w:p w14:paraId="70945541" w14:textId="77777777" w:rsidR="00913BE8" w:rsidRPr="00AE09DE" w:rsidRDefault="00913BE8" w:rsidP="001025DA">
            <w:pPr>
              <w:pStyle w:val="CDIFigure-Table-BodyTextCentre"/>
            </w:pPr>
            <w:r w:rsidRPr="00AE09DE">
              <w:t>1.25</w:t>
            </w:r>
          </w:p>
        </w:tc>
        <w:tc>
          <w:tcPr>
            <w:tcW w:w="1020" w:type="dxa"/>
            <w:tcBorders>
              <w:top w:val="single" w:sz="4" w:space="0" w:color="033636" w:themeColor="text2"/>
            </w:tcBorders>
            <w:tcMar>
              <w:top w:w="96" w:type="dxa"/>
              <w:left w:w="113" w:type="dxa"/>
              <w:bottom w:w="96" w:type="dxa"/>
              <w:right w:w="113" w:type="dxa"/>
            </w:tcMar>
            <w:vAlign w:val="center"/>
          </w:tcPr>
          <w:p w14:paraId="05978352" w14:textId="77777777" w:rsidR="00913BE8" w:rsidRPr="00AE09DE" w:rsidRDefault="00913BE8" w:rsidP="001025DA">
            <w:pPr>
              <w:pStyle w:val="CDIFigure-Table-BodyTextCentre"/>
            </w:pPr>
            <w:r w:rsidRPr="00AE09DE">
              <w:t>0.94–1.66</w:t>
            </w:r>
          </w:p>
        </w:tc>
      </w:tr>
      <w:tr w:rsidR="00913BE8" w:rsidRPr="00AE09DE" w14:paraId="37BFA398"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261DBE1A"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5E12A344" w14:textId="77777777" w:rsidR="00913BE8" w:rsidRPr="00AE09DE" w:rsidRDefault="00913BE8" w:rsidP="001025DA">
            <w:pPr>
              <w:pStyle w:val="CDIFigure-Table-BodyTextLeft"/>
            </w:pPr>
            <w:r w:rsidRPr="00AE09DE">
              <w:t>Cryptosporidiosis</w:t>
            </w:r>
          </w:p>
        </w:tc>
        <w:tc>
          <w:tcPr>
            <w:tcW w:w="737" w:type="dxa"/>
            <w:tcMar>
              <w:top w:w="96" w:type="dxa"/>
              <w:left w:w="113" w:type="dxa"/>
              <w:bottom w:w="96" w:type="dxa"/>
              <w:right w:w="113" w:type="dxa"/>
            </w:tcMar>
            <w:vAlign w:val="center"/>
          </w:tcPr>
          <w:p w14:paraId="0C0E4DE9" w14:textId="77777777" w:rsidR="00913BE8" w:rsidRPr="00AE09DE" w:rsidRDefault="00913BE8" w:rsidP="001025DA">
            <w:pPr>
              <w:pStyle w:val="CDIFigure-Table-BodyTextCentre"/>
            </w:pPr>
            <w:r w:rsidRPr="00AE09DE">
              <w:t>10</w:t>
            </w:r>
          </w:p>
        </w:tc>
        <w:tc>
          <w:tcPr>
            <w:tcW w:w="794" w:type="dxa"/>
            <w:tcMar>
              <w:top w:w="96" w:type="dxa"/>
              <w:left w:w="113" w:type="dxa"/>
              <w:bottom w:w="96" w:type="dxa"/>
              <w:right w:w="113" w:type="dxa"/>
            </w:tcMar>
            <w:vAlign w:val="center"/>
          </w:tcPr>
          <w:p w14:paraId="1BCF8DD5" w14:textId="77777777" w:rsidR="00913BE8" w:rsidRPr="00AE09DE" w:rsidRDefault="00913BE8" w:rsidP="001025DA">
            <w:pPr>
              <w:pStyle w:val="CDIFigure-Table-BodyTextCentre"/>
            </w:pPr>
            <w:r w:rsidRPr="00AE09DE">
              <w:t>16</w:t>
            </w:r>
          </w:p>
        </w:tc>
        <w:tc>
          <w:tcPr>
            <w:tcW w:w="737" w:type="dxa"/>
            <w:tcMar>
              <w:top w:w="96" w:type="dxa"/>
              <w:left w:w="113" w:type="dxa"/>
              <w:bottom w:w="96" w:type="dxa"/>
              <w:right w:w="113" w:type="dxa"/>
            </w:tcMar>
            <w:vAlign w:val="center"/>
          </w:tcPr>
          <w:p w14:paraId="0480E1F9" w14:textId="77777777" w:rsidR="00913BE8" w:rsidRPr="00AE09DE" w:rsidRDefault="00913BE8" w:rsidP="00263EAD">
            <w:pPr>
              <w:pStyle w:val="CDIFigure-Table-BodyTextCentre"/>
            </w:pPr>
            <w:r w:rsidRPr="00AE09DE">
              <w:t>9.51</w:t>
            </w:r>
          </w:p>
        </w:tc>
        <w:tc>
          <w:tcPr>
            <w:tcW w:w="737" w:type="dxa"/>
            <w:tcBorders>
              <w:right w:val="single" w:sz="4" w:space="0" w:color="033636" w:themeColor="text2"/>
            </w:tcBorders>
            <w:tcMar>
              <w:top w:w="96" w:type="dxa"/>
              <w:left w:w="113" w:type="dxa"/>
              <w:bottom w:w="96" w:type="dxa"/>
              <w:right w:w="113" w:type="dxa"/>
            </w:tcMar>
            <w:vAlign w:val="center"/>
          </w:tcPr>
          <w:p w14:paraId="5F69CCC5" w14:textId="77777777" w:rsidR="00913BE8" w:rsidRPr="00AE09DE" w:rsidRDefault="00913BE8" w:rsidP="001025DA">
            <w:pPr>
              <w:pStyle w:val="CDIFigure-Table-BodyTextCentre"/>
            </w:pPr>
            <w:r w:rsidRPr="00AE09DE">
              <w:t>7.13</w:t>
            </w:r>
          </w:p>
        </w:tc>
        <w:tc>
          <w:tcPr>
            <w:tcW w:w="737" w:type="dxa"/>
            <w:tcBorders>
              <w:left w:val="single" w:sz="4" w:space="0" w:color="033636" w:themeColor="text2"/>
            </w:tcBorders>
            <w:tcMar>
              <w:top w:w="96" w:type="dxa"/>
              <w:left w:w="113" w:type="dxa"/>
              <w:bottom w:w="96" w:type="dxa"/>
              <w:right w:w="113" w:type="dxa"/>
            </w:tcMar>
            <w:vAlign w:val="center"/>
          </w:tcPr>
          <w:p w14:paraId="78E18E0F" w14:textId="77777777" w:rsidR="00913BE8" w:rsidRPr="00AE09DE" w:rsidRDefault="00913BE8" w:rsidP="001025DA">
            <w:pPr>
              <w:pStyle w:val="CDIFigure-Table-BodyTextCentre"/>
            </w:pPr>
            <w:r w:rsidRPr="00AE09DE">
              <w:t>0.91</w:t>
            </w:r>
          </w:p>
        </w:tc>
        <w:tc>
          <w:tcPr>
            <w:tcW w:w="1021" w:type="dxa"/>
            <w:tcBorders>
              <w:right w:val="single" w:sz="4" w:space="0" w:color="033636" w:themeColor="text2"/>
            </w:tcBorders>
            <w:tcMar>
              <w:top w:w="96" w:type="dxa"/>
              <w:left w:w="113" w:type="dxa"/>
              <w:bottom w:w="96" w:type="dxa"/>
              <w:right w:w="113" w:type="dxa"/>
            </w:tcMar>
            <w:vAlign w:val="center"/>
          </w:tcPr>
          <w:p w14:paraId="0013D641" w14:textId="77777777" w:rsidR="00913BE8" w:rsidRPr="00AE09DE" w:rsidRDefault="00913BE8" w:rsidP="001025DA">
            <w:pPr>
              <w:pStyle w:val="CDIFigure-Table-BodyTextCentre"/>
            </w:pPr>
            <w:r w:rsidRPr="00AE09DE">
              <w:t>0.57–1.45</w:t>
            </w:r>
          </w:p>
        </w:tc>
        <w:tc>
          <w:tcPr>
            <w:tcW w:w="737" w:type="dxa"/>
            <w:tcBorders>
              <w:left w:val="single" w:sz="4" w:space="0" w:color="033636" w:themeColor="text2"/>
            </w:tcBorders>
            <w:tcMar>
              <w:top w:w="96" w:type="dxa"/>
              <w:left w:w="113" w:type="dxa"/>
              <w:bottom w:w="96" w:type="dxa"/>
              <w:right w:w="113" w:type="dxa"/>
            </w:tcMar>
            <w:vAlign w:val="center"/>
          </w:tcPr>
          <w:p w14:paraId="140F3862" w14:textId="77777777" w:rsidR="00913BE8" w:rsidRPr="00AE09DE" w:rsidRDefault="00913BE8" w:rsidP="001025DA">
            <w:pPr>
              <w:pStyle w:val="CDIFigure-Table-BodyTextCentre"/>
            </w:pPr>
            <w:r w:rsidRPr="00AE09DE">
              <w:t>0.68</w:t>
            </w:r>
          </w:p>
        </w:tc>
        <w:tc>
          <w:tcPr>
            <w:tcW w:w="1020" w:type="dxa"/>
            <w:tcBorders>
              <w:right w:val="single" w:sz="4" w:space="0" w:color="033636" w:themeColor="text2"/>
            </w:tcBorders>
            <w:tcMar>
              <w:top w:w="96" w:type="dxa"/>
              <w:left w:w="113" w:type="dxa"/>
              <w:bottom w:w="96" w:type="dxa"/>
              <w:right w:w="113" w:type="dxa"/>
            </w:tcMar>
            <w:vAlign w:val="center"/>
          </w:tcPr>
          <w:p w14:paraId="26F2C6FF" w14:textId="77777777" w:rsidR="00913BE8" w:rsidRPr="00AE09DE" w:rsidRDefault="00913BE8" w:rsidP="001025DA">
            <w:pPr>
              <w:pStyle w:val="CDIFigure-Table-BodyTextCentre"/>
            </w:pPr>
            <w:r w:rsidRPr="00AE09DE">
              <w:t>0.43–1.09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AC8D908" w14:textId="77777777" w:rsidR="00913BE8" w:rsidRPr="00AE09DE" w:rsidRDefault="00913BE8" w:rsidP="001025DA">
            <w:pPr>
              <w:pStyle w:val="CDIFigure-Table-BodyTextCentre"/>
            </w:pPr>
            <w:r w:rsidRPr="00AE09DE">
              <w:t>0.59</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63AD89B" w14:textId="77777777" w:rsidR="00913BE8" w:rsidRPr="00AE09DE" w:rsidRDefault="00913BE8" w:rsidP="001025DA">
            <w:pPr>
              <w:pStyle w:val="CDIFigure-Table-BodyTextCentre"/>
            </w:pPr>
            <w:r w:rsidRPr="00AE09DE">
              <w:t>0.36–0.98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A947DD6" w14:textId="77777777" w:rsidR="00913BE8" w:rsidRPr="00AE09DE" w:rsidRDefault="00913BE8" w:rsidP="001025DA">
            <w:pPr>
              <w:pStyle w:val="CDIFigure-Table-BodyTextCentre"/>
            </w:pPr>
            <w:r w:rsidRPr="00AE09DE">
              <w:t>0.44</w:t>
            </w:r>
          </w:p>
        </w:tc>
        <w:tc>
          <w:tcPr>
            <w:tcW w:w="1020" w:type="dxa"/>
            <w:shd w:val="clear" w:color="auto" w:fill="93F9F9" w:themeFill="text2" w:themeFillTint="40"/>
            <w:tcMar>
              <w:top w:w="96" w:type="dxa"/>
              <w:left w:w="113" w:type="dxa"/>
              <w:bottom w:w="96" w:type="dxa"/>
              <w:right w:w="113" w:type="dxa"/>
            </w:tcMar>
            <w:vAlign w:val="center"/>
          </w:tcPr>
          <w:p w14:paraId="5DAC582D" w14:textId="77777777" w:rsidR="00913BE8" w:rsidRPr="00AE09DE" w:rsidRDefault="00913BE8" w:rsidP="001025DA">
            <w:pPr>
              <w:pStyle w:val="CDIFigure-Table-BodyTextCentre"/>
            </w:pPr>
            <w:r w:rsidRPr="00AE09DE">
              <w:t>0.27–0.73</w:t>
            </w:r>
          </w:p>
        </w:tc>
      </w:tr>
      <w:tr w:rsidR="00913BE8" w:rsidRPr="00AE09DE" w14:paraId="779DEBE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DF3D19D"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1DBD543F" w14:textId="77777777" w:rsidR="00913BE8" w:rsidRPr="00AE09DE" w:rsidRDefault="00913BE8" w:rsidP="001025DA">
            <w:pPr>
              <w:pStyle w:val="CDIFigure-Table-BodyTextLeft"/>
            </w:pPr>
            <w:r w:rsidRPr="00AE09DE">
              <w:t>Hepatitis A</w:t>
            </w:r>
          </w:p>
        </w:tc>
        <w:tc>
          <w:tcPr>
            <w:tcW w:w="737" w:type="dxa"/>
            <w:tcMar>
              <w:top w:w="96" w:type="dxa"/>
              <w:left w:w="113" w:type="dxa"/>
              <w:bottom w:w="96" w:type="dxa"/>
              <w:right w:w="113" w:type="dxa"/>
            </w:tcMar>
            <w:vAlign w:val="center"/>
          </w:tcPr>
          <w:p w14:paraId="0355B10F" w14:textId="77777777" w:rsidR="00913BE8" w:rsidRPr="00AE09DE" w:rsidRDefault="00913BE8" w:rsidP="001025DA">
            <w:pPr>
              <w:pStyle w:val="CDIFigure-Table-BodyTextCentre"/>
            </w:pPr>
            <w:r w:rsidRPr="00AE09DE">
              <w:t>0.96</w:t>
            </w:r>
          </w:p>
        </w:tc>
        <w:tc>
          <w:tcPr>
            <w:tcW w:w="794" w:type="dxa"/>
            <w:tcMar>
              <w:top w:w="96" w:type="dxa"/>
              <w:left w:w="113" w:type="dxa"/>
              <w:bottom w:w="96" w:type="dxa"/>
              <w:right w:w="113" w:type="dxa"/>
            </w:tcMar>
            <w:vAlign w:val="center"/>
          </w:tcPr>
          <w:p w14:paraId="09763A75" w14:textId="77777777" w:rsidR="00913BE8" w:rsidRPr="00AE09DE" w:rsidRDefault="00913BE8" w:rsidP="001025DA">
            <w:pPr>
              <w:pStyle w:val="CDIFigure-Table-BodyTextCentre"/>
            </w:pPr>
            <w:r w:rsidRPr="00AE09DE">
              <w:t>0.98</w:t>
            </w:r>
          </w:p>
        </w:tc>
        <w:tc>
          <w:tcPr>
            <w:tcW w:w="737" w:type="dxa"/>
            <w:tcMar>
              <w:top w:w="96" w:type="dxa"/>
              <w:left w:w="113" w:type="dxa"/>
              <w:bottom w:w="96" w:type="dxa"/>
              <w:right w:w="113" w:type="dxa"/>
            </w:tcMar>
            <w:vAlign w:val="center"/>
          </w:tcPr>
          <w:p w14:paraId="17AD6237" w14:textId="77777777" w:rsidR="00913BE8" w:rsidRPr="00AE09DE" w:rsidRDefault="00913BE8" w:rsidP="001025DA">
            <w:pPr>
              <w:pStyle w:val="CDIFigure-Table-BodyTextCentre"/>
            </w:pPr>
            <w:r w:rsidRPr="00AE09DE">
              <w:t>0.33</w:t>
            </w:r>
          </w:p>
        </w:tc>
        <w:tc>
          <w:tcPr>
            <w:tcW w:w="737" w:type="dxa"/>
            <w:tcBorders>
              <w:right w:val="single" w:sz="4" w:space="0" w:color="033636" w:themeColor="text2"/>
            </w:tcBorders>
            <w:tcMar>
              <w:top w:w="96" w:type="dxa"/>
              <w:left w:w="113" w:type="dxa"/>
              <w:bottom w:w="96" w:type="dxa"/>
              <w:right w:w="113" w:type="dxa"/>
            </w:tcMar>
            <w:vAlign w:val="center"/>
          </w:tcPr>
          <w:p w14:paraId="719D84EF" w14:textId="77777777" w:rsidR="00913BE8" w:rsidRPr="00AE09DE" w:rsidRDefault="00913BE8" w:rsidP="001025DA">
            <w:pPr>
              <w:pStyle w:val="CDIFigure-Table-BodyTextCentre"/>
            </w:pPr>
            <w:r w:rsidRPr="00AE09DE">
              <w:t>0.09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301C46D" w14:textId="77777777" w:rsidR="00913BE8" w:rsidRPr="00AE09DE" w:rsidRDefault="00913BE8" w:rsidP="001025DA">
            <w:pPr>
              <w:pStyle w:val="CDIFigure-Table-BodyTextCentre"/>
            </w:pPr>
            <w:r w:rsidRPr="00AE09DE">
              <w:t>0.34</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35D97053" w14:textId="77777777" w:rsidR="00913BE8" w:rsidRPr="00AE09DE" w:rsidRDefault="00913BE8" w:rsidP="001025DA">
            <w:pPr>
              <w:pStyle w:val="CDIFigure-Table-BodyTextCentre"/>
            </w:pPr>
            <w:r w:rsidRPr="00AE09DE">
              <w:t>0.14–0.84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1B6FB1D" w14:textId="77777777" w:rsidR="00913BE8" w:rsidRPr="00AE09DE" w:rsidRDefault="00913BE8" w:rsidP="001025DA">
            <w:pPr>
              <w:pStyle w:val="CDIFigure-Table-BodyTextCentre"/>
            </w:pPr>
            <w:r w:rsidRPr="00AE09DE">
              <w:t>0.10</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3CC7502" w14:textId="77777777" w:rsidR="00913BE8" w:rsidRPr="00AE09DE" w:rsidRDefault="00913BE8" w:rsidP="001025DA">
            <w:pPr>
              <w:pStyle w:val="CDIFigure-Table-BodyTextCentre"/>
            </w:pPr>
            <w:r w:rsidRPr="00AE09DE">
              <w:t>0.04–0.25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5B18FBE" w14:textId="77777777" w:rsidR="00913BE8" w:rsidRPr="00AE09DE" w:rsidRDefault="00913BE8" w:rsidP="001025DA">
            <w:pPr>
              <w:pStyle w:val="CDIFigure-Table-BodyTextCentre"/>
            </w:pPr>
            <w:r w:rsidRPr="00AE09DE">
              <w:t>0.34</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7E4207A" w14:textId="77777777" w:rsidR="00913BE8" w:rsidRPr="00AE09DE" w:rsidRDefault="00913BE8" w:rsidP="001025DA">
            <w:pPr>
              <w:pStyle w:val="CDIFigure-Table-BodyTextCentre"/>
            </w:pPr>
            <w:r w:rsidRPr="00AE09DE">
              <w:t>0.17–0.68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5BEA17D" w14:textId="77777777" w:rsidR="00913BE8" w:rsidRPr="00AE09DE" w:rsidRDefault="00913BE8" w:rsidP="001025DA">
            <w:pPr>
              <w:pStyle w:val="CDIFigure-Table-BodyTextCentre"/>
            </w:pPr>
            <w:r w:rsidRPr="00AE09DE">
              <w:t>0.09</w:t>
            </w:r>
          </w:p>
        </w:tc>
        <w:tc>
          <w:tcPr>
            <w:tcW w:w="1020" w:type="dxa"/>
            <w:shd w:val="clear" w:color="auto" w:fill="93F9F9" w:themeFill="text2" w:themeFillTint="40"/>
            <w:tcMar>
              <w:top w:w="96" w:type="dxa"/>
              <w:left w:w="113" w:type="dxa"/>
              <w:bottom w:w="96" w:type="dxa"/>
              <w:right w:w="113" w:type="dxa"/>
            </w:tcMar>
            <w:vAlign w:val="center"/>
          </w:tcPr>
          <w:p w14:paraId="2D4628F4" w14:textId="77777777" w:rsidR="00913BE8" w:rsidRPr="00AE09DE" w:rsidRDefault="00913BE8" w:rsidP="001025DA">
            <w:pPr>
              <w:pStyle w:val="CDIFigure-Table-BodyTextCentre"/>
            </w:pPr>
            <w:r w:rsidRPr="00AE09DE">
              <w:t>0.04–0.21</w:t>
            </w:r>
          </w:p>
        </w:tc>
      </w:tr>
      <w:tr w:rsidR="00913BE8" w:rsidRPr="00AE09DE" w14:paraId="6650878D"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006F35BE"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456D5838" w14:textId="77777777" w:rsidR="00913BE8" w:rsidRPr="00AE09DE" w:rsidRDefault="00913BE8" w:rsidP="001025DA">
            <w:pPr>
              <w:pStyle w:val="CDIFigure-Table-BodyTextLeft"/>
            </w:pPr>
            <w:r w:rsidRPr="00AE09DE">
              <w:t>Hepatitis E</w:t>
            </w:r>
          </w:p>
        </w:tc>
        <w:tc>
          <w:tcPr>
            <w:tcW w:w="737" w:type="dxa"/>
            <w:tcMar>
              <w:top w:w="96" w:type="dxa"/>
              <w:left w:w="113" w:type="dxa"/>
              <w:bottom w:w="96" w:type="dxa"/>
              <w:right w:w="113" w:type="dxa"/>
            </w:tcMar>
            <w:vAlign w:val="center"/>
          </w:tcPr>
          <w:p w14:paraId="0EDE3DE8" w14:textId="77777777" w:rsidR="00913BE8" w:rsidRPr="00AE09DE" w:rsidRDefault="00913BE8" w:rsidP="001025DA">
            <w:pPr>
              <w:pStyle w:val="CDIFigure-Table-BodyTextCentre"/>
            </w:pPr>
            <w:r w:rsidRPr="00AE09DE">
              <w:t>0.22</w:t>
            </w:r>
          </w:p>
        </w:tc>
        <w:tc>
          <w:tcPr>
            <w:tcW w:w="794" w:type="dxa"/>
            <w:tcMar>
              <w:top w:w="96" w:type="dxa"/>
              <w:left w:w="113" w:type="dxa"/>
              <w:bottom w:w="96" w:type="dxa"/>
              <w:right w:w="113" w:type="dxa"/>
            </w:tcMar>
            <w:vAlign w:val="center"/>
          </w:tcPr>
          <w:p w14:paraId="7EF998E3" w14:textId="77777777" w:rsidR="00913BE8" w:rsidRPr="00AE09DE" w:rsidRDefault="00913BE8" w:rsidP="001025DA">
            <w:pPr>
              <w:pStyle w:val="CDIFigure-Table-BodyTextCentre"/>
            </w:pPr>
            <w:r w:rsidRPr="00AE09DE">
              <w:t>0.18</w:t>
            </w:r>
          </w:p>
        </w:tc>
        <w:tc>
          <w:tcPr>
            <w:tcW w:w="737" w:type="dxa"/>
            <w:tcMar>
              <w:top w:w="96" w:type="dxa"/>
              <w:left w:w="113" w:type="dxa"/>
              <w:bottom w:w="96" w:type="dxa"/>
              <w:right w:w="113" w:type="dxa"/>
            </w:tcMar>
            <w:vAlign w:val="center"/>
          </w:tcPr>
          <w:p w14:paraId="486B31BA" w14:textId="77777777" w:rsidR="00913BE8" w:rsidRPr="00AE09DE" w:rsidRDefault="00913BE8" w:rsidP="001025DA">
            <w:pPr>
              <w:pStyle w:val="CDIFigure-Table-BodyTextCentre"/>
            </w:pPr>
            <w:r w:rsidRPr="00AE09DE">
              <w:t>0.12</w:t>
            </w:r>
          </w:p>
        </w:tc>
        <w:tc>
          <w:tcPr>
            <w:tcW w:w="737" w:type="dxa"/>
            <w:tcBorders>
              <w:right w:val="single" w:sz="4" w:space="0" w:color="033636" w:themeColor="text2"/>
            </w:tcBorders>
            <w:tcMar>
              <w:top w:w="96" w:type="dxa"/>
              <w:left w:w="113" w:type="dxa"/>
              <w:bottom w:w="96" w:type="dxa"/>
              <w:right w:w="113" w:type="dxa"/>
            </w:tcMar>
            <w:vAlign w:val="center"/>
          </w:tcPr>
          <w:p w14:paraId="535F90C0" w14:textId="77777777" w:rsidR="00913BE8" w:rsidRPr="00AE09DE" w:rsidRDefault="00913BE8" w:rsidP="001025DA">
            <w:pPr>
              <w:pStyle w:val="CDIFigure-Table-BodyTextCentre"/>
            </w:pPr>
            <w:r w:rsidRPr="00AE09DE">
              <w:t>0.04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440E9F9" w14:textId="77777777" w:rsidR="00913BE8" w:rsidRPr="00AE09DE" w:rsidRDefault="00913BE8" w:rsidP="001025DA">
            <w:pPr>
              <w:pStyle w:val="CDIFigure-Table-BodyTextCentre"/>
            </w:pPr>
            <w:r w:rsidRPr="00AE09DE">
              <w:t>0.56</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95CAF3B" w14:textId="77777777" w:rsidR="00913BE8" w:rsidRPr="00AE09DE" w:rsidRDefault="00913BE8" w:rsidP="001025DA">
            <w:pPr>
              <w:pStyle w:val="CDIFigure-Table-BodyTextCentre"/>
            </w:pPr>
            <w:r w:rsidRPr="00AE09DE">
              <w:t>0.36–0.87</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3BB1FA3" w14:textId="77777777" w:rsidR="00913BE8" w:rsidRPr="00AE09DE" w:rsidRDefault="00913BE8" w:rsidP="001025DA">
            <w:pPr>
              <w:pStyle w:val="CDIFigure-Table-BodyTextCentre"/>
            </w:pPr>
            <w:r w:rsidRPr="00AE09DE">
              <w:t>0.18</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0CB96258" w14:textId="77777777" w:rsidR="00913BE8" w:rsidRPr="00AE09DE" w:rsidRDefault="00913BE8" w:rsidP="001025DA">
            <w:pPr>
              <w:pStyle w:val="CDIFigure-Table-BodyTextCentre"/>
            </w:pPr>
            <w:r w:rsidRPr="00AE09DE">
              <w:t>0.09–0.35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EFE914D" w14:textId="77777777" w:rsidR="00913BE8" w:rsidRPr="00AE09DE" w:rsidRDefault="00913BE8" w:rsidP="001025DA">
            <w:pPr>
              <w:pStyle w:val="CDIFigure-Table-BodyTextCentre"/>
            </w:pPr>
            <w:r w:rsidRPr="00AE09DE">
              <w:t>0.66</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47190DD0" w14:textId="77777777" w:rsidR="00913BE8" w:rsidRPr="00AE09DE" w:rsidRDefault="00913BE8" w:rsidP="001025DA">
            <w:pPr>
              <w:pStyle w:val="CDIFigure-Table-BodyTextCentre"/>
            </w:pPr>
            <w:r w:rsidRPr="00AE09DE">
              <w:t>0.45–0.96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2733D269" w14:textId="77777777" w:rsidR="00913BE8" w:rsidRPr="00AE09DE" w:rsidRDefault="00913BE8" w:rsidP="001025DA">
            <w:pPr>
              <w:pStyle w:val="CDIFigure-Table-BodyTextCentre"/>
            </w:pPr>
            <w:r w:rsidRPr="00AE09DE">
              <w:t>0.21</w:t>
            </w:r>
          </w:p>
        </w:tc>
        <w:tc>
          <w:tcPr>
            <w:tcW w:w="1020" w:type="dxa"/>
            <w:shd w:val="clear" w:color="auto" w:fill="93F9F9" w:themeFill="text2" w:themeFillTint="40"/>
            <w:tcMar>
              <w:top w:w="96" w:type="dxa"/>
              <w:left w:w="113" w:type="dxa"/>
              <w:bottom w:w="96" w:type="dxa"/>
              <w:right w:w="113" w:type="dxa"/>
            </w:tcMar>
            <w:vAlign w:val="center"/>
          </w:tcPr>
          <w:p w14:paraId="0A1BC490" w14:textId="77777777" w:rsidR="00913BE8" w:rsidRPr="00AE09DE" w:rsidRDefault="00913BE8" w:rsidP="001025DA">
            <w:pPr>
              <w:pStyle w:val="CDIFigure-Table-BodyTextCentre"/>
            </w:pPr>
            <w:r w:rsidRPr="00AE09DE">
              <w:t>0.11–0.40</w:t>
            </w:r>
          </w:p>
        </w:tc>
      </w:tr>
      <w:tr w:rsidR="00913BE8" w:rsidRPr="00AE09DE" w14:paraId="6B63CC3D"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3A6D11C0"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054ED150" w14:textId="77777777" w:rsidR="00913BE8" w:rsidRPr="00AE09DE" w:rsidRDefault="00913BE8" w:rsidP="001025DA">
            <w:pPr>
              <w:pStyle w:val="CDIFigure-Table-BodyTextLeft"/>
            </w:pPr>
            <w:r w:rsidRPr="00AE09DE">
              <w:t>Listeriosis</w:t>
            </w:r>
          </w:p>
        </w:tc>
        <w:tc>
          <w:tcPr>
            <w:tcW w:w="737" w:type="dxa"/>
            <w:tcMar>
              <w:top w:w="96" w:type="dxa"/>
              <w:left w:w="113" w:type="dxa"/>
              <w:bottom w:w="96" w:type="dxa"/>
              <w:right w:w="113" w:type="dxa"/>
            </w:tcMar>
            <w:vAlign w:val="center"/>
          </w:tcPr>
          <w:p w14:paraId="3BC0A661" w14:textId="77777777" w:rsidR="00913BE8" w:rsidRPr="00AE09DE" w:rsidRDefault="00913BE8" w:rsidP="001025DA">
            <w:pPr>
              <w:pStyle w:val="CDIFigure-Table-BodyTextCentre"/>
            </w:pPr>
            <w:r w:rsidRPr="00AE09DE">
              <w:t>0.20</w:t>
            </w:r>
          </w:p>
        </w:tc>
        <w:tc>
          <w:tcPr>
            <w:tcW w:w="794" w:type="dxa"/>
            <w:tcMar>
              <w:top w:w="96" w:type="dxa"/>
              <w:left w:w="113" w:type="dxa"/>
              <w:bottom w:w="96" w:type="dxa"/>
              <w:right w:w="113" w:type="dxa"/>
            </w:tcMar>
            <w:vAlign w:val="center"/>
          </w:tcPr>
          <w:p w14:paraId="68BBB98B" w14:textId="77777777" w:rsidR="00913BE8" w:rsidRPr="00AE09DE" w:rsidRDefault="00913BE8" w:rsidP="001025DA">
            <w:pPr>
              <w:pStyle w:val="CDIFigure-Table-BodyTextCentre"/>
            </w:pPr>
            <w:r w:rsidRPr="00AE09DE">
              <w:t>0.28</w:t>
            </w:r>
          </w:p>
        </w:tc>
        <w:tc>
          <w:tcPr>
            <w:tcW w:w="737" w:type="dxa"/>
            <w:tcMar>
              <w:top w:w="96" w:type="dxa"/>
              <w:left w:w="113" w:type="dxa"/>
              <w:bottom w:w="96" w:type="dxa"/>
              <w:right w:w="113" w:type="dxa"/>
            </w:tcMar>
            <w:vAlign w:val="center"/>
          </w:tcPr>
          <w:p w14:paraId="04C9EF54" w14:textId="77777777" w:rsidR="00913BE8" w:rsidRPr="00AE09DE" w:rsidRDefault="00913BE8" w:rsidP="001025DA">
            <w:pPr>
              <w:pStyle w:val="CDIFigure-Table-BodyTextCentre"/>
            </w:pPr>
            <w:r w:rsidRPr="00AE09DE">
              <w:t>0.17</w:t>
            </w:r>
          </w:p>
        </w:tc>
        <w:tc>
          <w:tcPr>
            <w:tcW w:w="737" w:type="dxa"/>
            <w:tcBorders>
              <w:right w:val="single" w:sz="4" w:space="0" w:color="033636" w:themeColor="text2"/>
            </w:tcBorders>
            <w:tcMar>
              <w:top w:w="96" w:type="dxa"/>
              <w:left w:w="113" w:type="dxa"/>
              <w:bottom w:w="96" w:type="dxa"/>
              <w:right w:w="113" w:type="dxa"/>
            </w:tcMar>
            <w:vAlign w:val="center"/>
          </w:tcPr>
          <w:p w14:paraId="51EF1739" w14:textId="77777777" w:rsidR="00913BE8" w:rsidRPr="00AE09DE" w:rsidRDefault="00913BE8" w:rsidP="001025DA">
            <w:pPr>
              <w:pStyle w:val="CDIFigure-Table-BodyTextCentre"/>
            </w:pPr>
            <w:r w:rsidRPr="00AE09DE">
              <w:t>0.17</w:t>
            </w:r>
          </w:p>
        </w:tc>
        <w:tc>
          <w:tcPr>
            <w:tcW w:w="737" w:type="dxa"/>
            <w:tcBorders>
              <w:left w:val="single" w:sz="4" w:space="0" w:color="033636" w:themeColor="text2"/>
            </w:tcBorders>
            <w:tcMar>
              <w:top w:w="96" w:type="dxa"/>
              <w:left w:w="113" w:type="dxa"/>
              <w:bottom w:w="96" w:type="dxa"/>
              <w:right w:w="113" w:type="dxa"/>
            </w:tcMar>
            <w:vAlign w:val="center"/>
          </w:tcPr>
          <w:p w14:paraId="5C5AB7E7" w14:textId="77777777" w:rsidR="00913BE8" w:rsidRPr="00AE09DE" w:rsidRDefault="00913BE8" w:rsidP="001025DA">
            <w:pPr>
              <w:pStyle w:val="CDIFigure-Table-BodyTextCentre"/>
            </w:pPr>
            <w:r w:rsidRPr="00AE09DE">
              <w:t>0.84</w:t>
            </w:r>
          </w:p>
        </w:tc>
        <w:tc>
          <w:tcPr>
            <w:tcW w:w="1021" w:type="dxa"/>
            <w:tcBorders>
              <w:right w:val="single" w:sz="4" w:space="0" w:color="033636" w:themeColor="text2"/>
            </w:tcBorders>
            <w:tcMar>
              <w:top w:w="96" w:type="dxa"/>
              <w:left w:w="113" w:type="dxa"/>
              <w:bottom w:w="96" w:type="dxa"/>
              <w:right w:w="113" w:type="dxa"/>
            </w:tcMar>
            <w:vAlign w:val="center"/>
          </w:tcPr>
          <w:p w14:paraId="1F4DFCBA" w14:textId="77777777" w:rsidR="00913BE8" w:rsidRPr="00AE09DE" w:rsidRDefault="00913BE8" w:rsidP="001025DA">
            <w:pPr>
              <w:pStyle w:val="CDIFigure-Table-BodyTextCentre"/>
            </w:pPr>
            <w:r w:rsidRPr="00AE09DE">
              <w:t>0.56–1.26</w:t>
            </w:r>
          </w:p>
        </w:tc>
        <w:tc>
          <w:tcPr>
            <w:tcW w:w="737" w:type="dxa"/>
            <w:tcBorders>
              <w:left w:val="single" w:sz="4" w:space="0" w:color="033636" w:themeColor="text2"/>
            </w:tcBorders>
            <w:tcMar>
              <w:top w:w="96" w:type="dxa"/>
              <w:left w:w="113" w:type="dxa"/>
              <w:bottom w:w="96" w:type="dxa"/>
              <w:right w:w="113" w:type="dxa"/>
            </w:tcMar>
            <w:vAlign w:val="center"/>
          </w:tcPr>
          <w:p w14:paraId="0DE51CF4" w14:textId="77777777" w:rsidR="00913BE8" w:rsidRPr="00AE09DE" w:rsidRDefault="00913BE8" w:rsidP="001025DA">
            <w:pPr>
              <w:pStyle w:val="CDIFigure-Table-BodyTextCentre"/>
            </w:pPr>
            <w:r w:rsidRPr="00AE09DE">
              <w:t>0.84</w:t>
            </w:r>
          </w:p>
        </w:tc>
        <w:tc>
          <w:tcPr>
            <w:tcW w:w="1020" w:type="dxa"/>
            <w:tcBorders>
              <w:right w:val="single" w:sz="4" w:space="0" w:color="033636" w:themeColor="text2"/>
            </w:tcBorders>
            <w:tcMar>
              <w:top w:w="96" w:type="dxa"/>
              <w:left w:w="113" w:type="dxa"/>
              <w:bottom w:w="96" w:type="dxa"/>
              <w:right w:w="113" w:type="dxa"/>
            </w:tcMar>
            <w:vAlign w:val="center"/>
          </w:tcPr>
          <w:p w14:paraId="299464A7" w14:textId="77777777" w:rsidR="00913BE8" w:rsidRPr="00AE09DE" w:rsidRDefault="00913BE8" w:rsidP="001025DA">
            <w:pPr>
              <w:pStyle w:val="CDIFigure-Table-BodyTextCentre"/>
            </w:pPr>
            <w:r w:rsidRPr="00AE09DE">
              <w:t>0.56–1.26</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CE6345C" w14:textId="77777777" w:rsidR="00913BE8" w:rsidRPr="00AE09DE" w:rsidRDefault="00913BE8" w:rsidP="001025DA">
            <w:pPr>
              <w:pStyle w:val="CDIFigure-Table-BodyTextCentre"/>
            </w:pPr>
            <w:r w:rsidRPr="00AE09DE">
              <w:t>0.60</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66737128" w14:textId="77777777" w:rsidR="00913BE8" w:rsidRPr="00AE09DE" w:rsidRDefault="00913BE8" w:rsidP="001025DA">
            <w:pPr>
              <w:pStyle w:val="CDIFigure-Table-BodyTextCentre"/>
            </w:pPr>
            <w:r w:rsidRPr="00AE09DE">
              <w:t>0.42–0.87</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5C8ED29" w14:textId="77777777" w:rsidR="00913BE8" w:rsidRPr="00AE09DE" w:rsidRDefault="00913BE8" w:rsidP="001025DA">
            <w:pPr>
              <w:pStyle w:val="CDIFigure-Table-BodyTextCentre"/>
            </w:pPr>
            <w:r w:rsidRPr="00AE09DE">
              <w:t>0.60</w:t>
            </w:r>
          </w:p>
        </w:tc>
        <w:tc>
          <w:tcPr>
            <w:tcW w:w="1020" w:type="dxa"/>
            <w:shd w:val="clear" w:color="auto" w:fill="93F9F9" w:themeFill="text2" w:themeFillTint="40"/>
            <w:tcMar>
              <w:top w:w="96" w:type="dxa"/>
              <w:left w:w="113" w:type="dxa"/>
              <w:bottom w:w="96" w:type="dxa"/>
              <w:right w:w="113" w:type="dxa"/>
            </w:tcMar>
            <w:vAlign w:val="center"/>
          </w:tcPr>
          <w:p w14:paraId="383F31BC" w14:textId="77777777" w:rsidR="00913BE8" w:rsidRPr="00AE09DE" w:rsidRDefault="00913BE8" w:rsidP="001025DA">
            <w:pPr>
              <w:pStyle w:val="CDIFigure-Table-BodyTextCentre"/>
            </w:pPr>
            <w:r w:rsidRPr="00AE09DE">
              <w:t>0.42–0.87</w:t>
            </w:r>
          </w:p>
        </w:tc>
      </w:tr>
      <w:tr w:rsidR="00913BE8" w:rsidRPr="00AE09DE" w14:paraId="73BA4F2C"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E9F4348"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6EE51C90" w14:textId="77777777" w:rsidR="00913BE8" w:rsidRPr="00AE09DE" w:rsidRDefault="00913BE8" w:rsidP="001025DA">
            <w:pPr>
              <w:pStyle w:val="CDIFigure-Table-BodyTextLeft"/>
            </w:pPr>
            <w:r w:rsidRPr="00AE09DE">
              <w:t>Salmonellosis</w:t>
            </w:r>
          </w:p>
        </w:tc>
        <w:tc>
          <w:tcPr>
            <w:tcW w:w="737" w:type="dxa"/>
            <w:tcMar>
              <w:top w:w="96" w:type="dxa"/>
              <w:left w:w="113" w:type="dxa"/>
              <w:bottom w:w="96" w:type="dxa"/>
              <w:right w:w="113" w:type="dxa"/>
            </w:tcMar>
            <w:vAlign w:val="center"/>
          </w:tcPr>
          <w:p w14:paraId="6685A072" w14:textId="77777777" w:rsidR="00913BE8" w:rsidRPr="00AE09DE" w:rsidRDefault="00913BE8" w:rsidP="001025DA">
            <w:pPr>
              <w:pStyle w:val="CDIFigure-Table-BodyTextCentre"/>
            </w:pPr>
            <w:r w:rsidRPr="00AE09DE">
              <w:t>57</w:t>
            </w:r>
          </w:p>
        </w:tc>
        <w:tc>
          <w:tcPr>
            <w:tcW w:w="794" w:type="dxa"/>
            <w:tcMar>
              <w:top w:w="96" w:type="dxa"/>
              <w:left w:w="113" w:type="dxa"/>
              <w:bottom w:w="96" w:type="dxa"/>
              <w:right w:w="113" w:type="dxa"/>
            </w:tcMar>
            <w:vAlign w:val="center"/>
          </w:tcPr>
          <w:p w14:paraId="2F69110D" w14:textId="77777777" w:rsidR="00913BE8" w:rsidRPr="00AE09DE" w:rsidRDefault="00913BE8" w:rsidP="001025DA">
            <w:pPr>
              <w:pStyle w:val="CDIFigure-Table-BodyTextCentre"/>
            </w:pPr>
            <w:r w:rsidRPr="00AE09DE">
              <w:t>65</w:t>
            </w:r>
          </w:p>
        </w:tc>
        <w:tc>
          <w:tcPr>
            <w:tcW w:w="737" w:type="dxa"/>
            <w:tcMar>
              <w:top w:w="96" w:type="dxa"/>
              <w:left w:w="113" w:type="dxa"/>
              <w:bottom w:w="96" w:type="dxa"/>
              <w:right w:w="113" w:type="dxa"/>
            </w:tcMar>
            <w:vAlign w:val="center"/>
          </w:tcPr>
          <w:p w14:paraId="6CBFFF2E" w14:textId="77777777" w:rsidR="00913BE8" w:rsidRPr="00AE09DE" w:rsidRDefault="00913BE8" w:rsidP="001025DA">
            <w:pPr>
              <w:pStyle w:val="CDIFigure-Table-BodyTextCentre"/>
            </w:pPr>
            <w:r w:rsidRPr="00AE09DE">
              <w:t>47</w:t>
            </w:r>
          </w:p>
        </w:tc>
        <w:tc>
          <w:tcPr>
            <w:tcW w:w="737" w:type="dxa"/>
            <w:tcBorders>
              <w:right w:val="single" w:sz="4" w:space="0" w:color="033636" w:themeColor="text2"/>
            </w:tcBorders>
            <w:tcMar>
              <w:top w:w="96" w:type="dxa"/>
              <w:left w:w="113" w:type="dxa"/>
              <w:bottom w:w="96" w:type="dxa"/>
              <w:right w:w="113" w:type="dxa"/>
            </w:tcMar>
            <w:vAlign w:val="center"/>
          </w:tcPr>
          <w:p w14:paraId="1CAD714A" w14:textId="77777777" w:rsidR="00913BE8" w:rsidRPr="00AE09DE" w:rsidRDefault="00913BE8" w:rsidP="001025DA">
            <w:pPr>
              <w:pStyle w:val="CDIFigure-Table-BodyTextCentre"/>
            </w:pPr>
            <w:r w:rsidRPr="00AE09DE">
              <w:t>42</w:t>
            </w:r>
          </w:p>
        </w:tc>
        <w:tc>
          <w:tcPr>
            <w:tcW w:w="737" w:type="dxa"/>
            <w:tcBorders>
              <w:left w:val="single" w:sz="4" w:space="0" w:color="033636" w:themeColor="text2"/>
            </w:tcBorders>
            <w:tcMar>
              <w:top w:w="96" w:type="dxa"/>
              <w:left w:w="113" w:type="dxa"/>
              <w:bottom w:w="96" w:type="dxa"/>
              <w:right w:w="113" w:type="dxa"/>
            </w:tcMar>
            <w:vAlign w:val="center"/>
          </w:tcPr>
          <w:p w14:paraId="44DFD4D0" w14:textId="77777777" w:rsidR="00913BE8" w:rsidRPr="00AE09DE" w:rsidRDefault="00913BE8" w:rsidP="001025DA">
            <w:pPr>
              <w:pStyle w:val="CDIFigure-Table-BodyTextCentre"/>
            </w:pPr>
            <w:r w:rsidRPr="00AE09DE">
              <w:t>0.82</w:t>
            </w:r>
          </w:p>
        </w:tc>
        <w:tc>
          <w:tcPr>
            <w:tcW w:w="1021" w:type="dxa"/>
            <w:tcBorders>
              <w:right w:val="single" w:sz="4" w:space="0" w:color="033636" w:themeColor="text2"/>
            </w:tcBorders>
            <w:tcMar>
              <w:top w:w="96" w:type="dxa"/>
              <w:left w:w="113" w:type="dxa"/>
              <w:bottom w:w="96" w:type="dxa"/>
              <w:right w:w="113" w:type="dxa"/>
            </w:tcMar>
            <w:vAlign w:val="center"/>
          </w:tcPr>
          <w:p w14:paraId="59F3FA7D" w14:textId="77777777" w:rsidR="00913BE8" w:rsidRPr="00AE09DE" w:rsidRDefault="00913BE8" w:rsidP="001025DA">
            <w:pPr>
              <w:pStyle w:val="CDIFigure-Table-BodyTextCentre"/>
            </w:pPr>
            <w:r w:rsidRPr="00AE09DE">
              <w:t>0.66–1.01</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FDD7FD2" w14:textId="77777777" w:rsidR="00913BE8" w:rsidRPr="00AE09DE" w:rsidRDefault="00913BE8" w:rsidP="001025DA">
            <w:pPr>
              <w:pStyle w:val="CDIFigure-Table-BodyTextCentre"/>
            </w:pPr>
            <w:r w:rsidRPr="00AE09DE">
              <w:t>0.73</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6F7DA980" w14:textId="77777777" w:rsidR="00913BE8" w:rsidRPr="00AE09DE" w:rsidRDefault="00913BE8" w:rsidP="001025DA">
            <w:pPr>
              <w:pStyle w:val="CDIFigure-Table-BodyTextCentre"/>
            </w:pPr>
            <w:r w:rsidRPr="00AE09DE">
              <w:t>0.59–0.90</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42DC8A69" w14:textId="77777777" w:rsidR="00913BE8" w:rsidRPr="00AE09DE" w:rsidRDefault="00913BE8" w:rsidP="001025DA">
            <w:pPr>
              <w:pStyle w:val="CDIFigure-Table-BodyTextCentre"/>
            </w:pPr>
            <w:r w:rsidRPr="00AE09DE">
              <w:t>0.72</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1B6C22D" w14:textId="77777777" w:rsidR="00913BE8" w:rsidRPr="00AE09DE" w:rsidRDefault="00913BE8" w:rsidP="001025DA">
            <w:pPr>
              <w:pStyle w:val="CDIFigure-Table-BodyTextCentre"/>
            </w:pPr>
            <w:r w:rsidRPr="00AE09DE">
              <w:t>0.59–0.88</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B43FEA1" w14:textId="77777777" w:rsidR="00913BE8" w:rsidRPr="00AE09DE" w:rsidRDefault="00913BE8" w:rsidP="001025DA">
            <w:pPr>
              <w:pStyle w:val="CDIFigure-Table-BodyTextCentre"/>
            </w:pPr>
            <w:r w:rsidRPr="00AE09DE">
              <w:t>0.64</w:t>
            </w:r>
          </w:p>
        </w:tc>
        <w:tc>
          <w:tcPr>
            <w:tcW w:w="1020" w:type="dxa"/>
            <w:shd w:val="clear" w:color="auto" w:fill="93F9F9" w:themeFill="text2" w:themeFillTint="40"/>
            <w:tcMar>
              <w:top w:w="96" w:type="dxa"/>
              <w:left w:w="113" w:type="dxa"/>
              <w:bottom w:w="96" w:type="dxa"/>
              <w:right w:w="113" w:type="dxa"/>
            </w:tcMar>
            <w:vAlign w:val="center"/>
          </w:tcPr>
          <w:p w14:paraId="7A8C4EDC" w14:textId="77777777" w:rsidR="00913BE8" w:rsidRPr="00AE09DE" w:rsidRDefault="00913BE8" w:rsidP="001025DA">
            <w:pPr>
              <w:pStyle w:val="CDIFigure-Table-BodyTextCentre"/>
            </w:pPr>
            <w:r w:rsidRPr="00AE09DE">
              <w:t>0.53–0.78</w:t>
            </w:r>
          </w:p>
        </w:tc>
      </w:tr>
      <w:tr w:rsidR="00913BE8" w:rsidRPr="00AE09DE" w14:paraId="0FC1EE2D"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D7C3190"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30862E6A" w14:textId="77777777" w:rsidR="00913BE8" w:rsidRPr="00AE09DE" w:rsidRDefault="00913BE8" w:rsidP="001025DA">
            <w:pPr>
              <w:pStyle w:val="CDIFigure-Table-BodyTextLeft"/>
            </w:pPr>
            <w:r w:rsidRPr="00AE09DE">
              <w:t>Shigellosis</w:t>
            </w:r>
            <w:r w:rsidRPr="00263EAD">
              <w:rPr>
                <w:vertAlign w:val="superscript"/>
              </w:rPr>
              <w:t>d</w:t>
            </w:r>
          </w:p>
        </w:tc>
        <w:tc>
          <w:tcPr>
            <w:tcW w:w="737" w:type="dxa"/>
            <w:tcMar>
              <w:top w:w="96" w:type="dxa"/>
              <w:left w:w="113" w:type="dxa"/>
              <w:bottom w:w="96" w:type="dxa"/>
              <w:right w:w="113" w:type="dxa"/>
            </w:tcMar>
            <w:vAlign w:val="center"/>
          </w:tcPr>
          <w:p w14:paraId="26AF6ED4" w14:textId="77777777" w:rsidR="00913BE8" w:rsidRPr="00AE09DE" w:rsidRDefault="00913BE8" w:rsidP="001025DA">
            <w:pPr>
              <w:pStyle w:val="CDIFigure-Table-BodyTextCentre"/>
            </w:pPr>
            <w:r w:rsidRPr="00AE09DE">
              <w:t>12</w:t>
            </w:r>
          </w:p>
        </w:tc>
        <w:tc>
          <w:tcPr>
            <w:tcW w:w="794" w:type="dxa"/>
            <w:tcMar>
              <w:top w:w="96" w:type="dxa"/>
              <w:left w:w="113" w:type="dxa"/>
              <w:bottom w:w="96" w:type="dxa"/>
              <w:right w:w="113" w:type="dxa"/>
            </w:tcMar>
            <w:vAlign w:val="center"/>
          </w:tcPr>
          <w:p w14:paraId="333B7815" w14:textId="77777777" w:rsidR="00913BE8" w:rsidRPr="00AE09DE" w:rsidRDefault="00913BE8" w:rsidP="001025DA">
            <w:pPr>
              <w:pStyle w:val="CDIFigure-Table-BodyTextCentre"/>
            </w:pPr>
            <w:r w:rsidRPr="00AE09DE">
              <w:t>7.89</w:t>
            </w:r>
          </w:p>
        </w:tc>
        <w:tc>
          <w:tcPr>
            <w:tcW w:w="737" w:type="dxa"/>
            <w:tcMar>
              <w:top w:w="96" w:type="dxa"/>
              <w:left w:w="113" w:type="dxa"/>
              <w:bottom w:w="96" w:type="dxa"/>
              <w:right w:w="113" w:type="dxa"/>
            </w:tcMar>
            <w:vAlign w:val="center"/>
          </w:tcPr>
          <w:p w14:paraId="0B7A98E5" w14:textId="77777777" w:rsidR="00913BE8" w:rsidRPr="00AE09DE" w:rsidRDefault="00913BE8" w:rsidP="001025DA">
            <w:pPr>
              <w:pStyle w:val="CDIFigure-Table-BodyTextCentre"/>
            </w:pPr>
            <w:r w:rsidRPr="00AE09DE">
              <w:t>6.24</w:t>
            </w:r>
          </w:p>
        </w:tc>
        <w:tc>
          <w:tcPr>
            <w:tcW w:w="737" w:type="dxa"/>
            <w:tcBorders>
              <w:right w:val="single" w:sz="4" w:space="0" w:color="033636" w:themeColor="text2"/>
            </w:tcBorders>
            <w:tcMar>
              <w:top w:w="96" w:type="dxa"/>
              <w:left w:w="113" w:type="dxa"/>
              <w:bottom w:w="96" w:type="dxa"/>
              <w:right w:w="113" w:type="dxa"/>
            </w:tcMar>
            <w:vAlign w:val="center"/>
          </w:tcPr>
          <w:p w14:paraId="794845CE" w14:textId="77777777" w:rsidR="00913BE8" w:rsidRPr="00AE09DE" w:rsidRDefault="00913BE8" w:rsidP="001025DA">
            <w:pPr>
              <w:pStyle w:val="CDIFigure-Table-BodyTextCentre"/>
            </w:pPr>
            <w:r w:rsidRPr="00AE09DE">
              <w:t>1.85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4AAEE03" w14:textId="77777777" w:rsidR="00913BE8" w:rsidRPr="00AE09DE" w:rsidRDefault="00913BE8" w:rsidP="001025DA">
            <w:pPr>
              <w:pStyle w:val="CDIFigure-Table-BodyTextCentre"/>
            </w:pPr>
            <w:r w:rsidRPr="00AE09DE">
              <w:t>0.51</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0C79E4CD" w14:textId="77777777" w:rsidR="00913BE8" w:rsidRPr="00AE09DE" w:rsidRDefault="00913BE8" w:rsidP="001025DA">
            <w:pPr>
              <w:pStyle w:val="CDIFigure-Table-BodyTextCentre"/>
            </w:pPr>
            <w:r w:rsidRPr="00AE09DE">
              <w:t>0.27–0.95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B4B3BAE" w14:textId="77777777" w:rsidR="00913BE8" w:rsidRPr="00AE09DE" w:rsidRDefault="00913BE8" w:rsidP="001025DA">
            <w:pPr>
              <w:pStyle w:val="CDIFigure-Table-BodyTextCentre"/>
            </w:pPr>
            <w:r w:rsidRPr="00AE09DE">
              <w:t>0.15</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503D4652" w14:textId="77777777" w:rsidR="00913BE8" w:rsidRPr="00AE09DE" w:rsidRDefault="00913BE8" w:rsidP="001025DA">
            <w:pPr>
              <w:pStyle w:val="CDIFigure-Table-BodyTextCentre"/>
            </w:pPr>
            <w:r w:rsidRPr="00AE09DE">
              <w:t>0.08–0.28</w:t>
            </w:r>
          </w:p>
        </w:tc>
        <w:tc>
          <w:tcPr>
            <w:tcW w:w="737" w:type="dxa"/>
            <w:tcBorders>
              <w:left w:val="single" w:sz="4" w:space="0" w:color="033636" w:themeColor="text2"/>
            </w:tcBorders>
            <w:tcMar>
              <w:top w:w="96" w:type="dxa"/>
              <w:left w:w="113" w:type="dxa"/>
              <w:bottom w:w="96" w:type="dxa"/>
              <w:right w:w="113" w:type="dxa"/>
            </w:tcMar>
            <w:vAlign w:val="center"/>
          </w:tcPr>
          <w:p w14:paraId="59BF95E6" w14:textId="77777777" w:rsidR="00913BE8" w:rsidRPr="00AE09DE" w:rsidRDefault="00913BE8" w:rsidP="001025DA">
            <w:pPr>
              <w:pStyle w:val="CDIFigure-Table-BodyTextCentre"/>
            </w:pPr>
            <w:r w:rsidRPr="00AE09DE">
              <w:t>0.79</w:t>
            </w:r>
          </w:p>
        </w:tc>
        <w:tc>
          <w:tcPr>
            <w:tcW w:w="1021" w:type="dxa"/>
            <w:tcBorders>
              <w:right w:val="single" w:sz="4" w:space="0" w:color="033636" w:themeColor="text2"/>
            </w:tcBorders>
            <w:tcMar>
              <w:top w:w="96" w:type="dxa"/>
              <w:left w:w="113" w:type="dxa"/>
              <w:bottom w:w="96" w:type="dxa"/>
              <w:right w:w="113" w:type="dxa"/>
            </w:tcMar>
            <w:vAlign w:val="center"/>
          </w:tcPr>
          <w:p w14:paraId="25E677CA" w14:textId="77777777" w:rsidR="00913BE8" w:rsidRPr="00AE09DE" w:rsidRDefault="00913BE8" w:rsidP="001025DA">
            <w:pPr>
              <w:pStyle w:val="CDIFigure-Table-BodyTextCentre"/>
            </w:pPr>
            <w:r w:rsidRPr="00AE09DE">
              <w:t>0.40–1.54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158E550E" w14:textId="77777777" w:rsidR="00913BE8" w:rsidRPr="00AE09DE" w:rsidRDefault="00913BE8" w:rsidP="001025DA">
            <w:pPr>
              <w:pStyle w:val="CDIFigure-Table-BodyTextCentre"/>
            </w:pPr>
            <w:r w:rsidRPr="00AE09DE">
              <w:t>0.23</w:t>
            </w:r>
          </w:p>
        </w:tc>
        <w:tc>
          <w:tcPr>
            <w:tcW w:w="1020" w:type="dxa"/>
            <w:shd w:val="clear" w:color="auto" w:fill="93F9F9" w:themeFill="text2" w:themeFillTint="40"/>
            <w:tcMar>
              <w:top w:w="96" w:type="dxa"/>
              <w:left w:w="113" w:type="dxa"/>
              <w:bottom w:w="96" w:type="dxa"/>
              <w:right w:w="113" w:type="dxa"/>
            </w:tcMar>
            <w:vAlign w:val="center"/>
          </w:tcPr>
          <w:p w14:paraId="1061B74E" w14:textId="77777777" w:rsidR="00913BE8" w:rsidRPr="00AE09DE" w:rsidRDefault="00913BE8" w:rsidP="001025DA">
            <w:pPr>
              <w:pStyle w:val="CDIFigure-Table-BodyTextCentre"/>
            </w:pPr>
            <w:r w:rsidRPr="00AE09DE">
              <w:t>0.12–0.46</w:t>
            </w:r>
          </w:p>
        </w:tc>
      </w:tr>
      <w:tr w:rsidR="00913BE8" w:rsidRPr="00AE09DE" w14:paraId="6041DB1F"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DDAE8BA" w14:textId="77777777" w:rsidR="00913BE8" w:rsidRPr="00913BE8" w:rsidRDefault="00913BE8" w:rsidP="00913BE8">
            <w:pPr>
              <w:pStyle w:val="CDIFigure-Table-BodyTextLeft"/>
            </w:pPr>
          </w:p>
        </w:tc>
        <w:tc>
          <w:tcPr>
            <w:tcW w:w="2891" w:type="dxa"/>
            <w:tcMar>
              <w:top w:w="96" w:type="dxa"/>
              <w:left w:w="113" w:type="dxa"/>
              <w:bottom w:w="96" w:type="dxa"/>
              <w:right w:w="113" w:type="dxa"/>
            </w:tcMar>
            <w:vAlign w:val="center"/>
          </w:tcPr>
          <w:p w14:paraId="721ED9C5" w14:textId="77777777" w:rsidR="00913BE8" w:rsidRPr="00AE09DE" w:rsidRDefault="00913BE8" w:rsidP="001025DA">
            <w:pPr>
              <w:pStyle w:val="CDIFigure-Table-BodyTextLeft"/>
            </w:pPr>
            <w:r w:rsidRPr="00AE09DE">
              <w:t xml:space="preserve">Shiga toxin-producing </w:t>
            </w:r>
            <w:r w:rsidRPr="00263EAD">
              <w:rPr>
                <w:i/>
                <w:iCs/>
              </w:rPr>
              <w:t>E. coli</w:t>
            </w:r>
            <w:r w:rsidRPr="00AE09DE">
              <w:t xml:space="preserve"> (STEC)</w:t>
            </w:r>
          </w:p>
        </w:tc>
        <w:tc>
          <w:tcPr>
            <w:tcW w:w="737" w:type="dxa"/>
            <w:tcMar>
              <w:top w:w="96" w:type="dxa"/>
              <w:left w:w="113" w:type="dxa"/>
              <w:bottom w:w="96" w:type="dxa"/>
              <w:right w:w="113" w:type="dxa"/>
            </w:tcMar>
            <w:vAlign w:val="center"/>
          </w:tcPr>
          <w:p w14:paraId="24954F3B" w14:textId="77777777" w:rsidR="00913BE8" w:rsidRPr="00AE09DE" w:rsidRDefault="00913BE8" w:rsidP="001025DA">
            <w:pPr>
              <w:pStyle w:val="CDIFigure-Table-BodyTextCentre"/>
            </w:pPr>
            <w:r w:rsidRPr="00AE09DE">
              <w:t>2.56</w:t>
            </w:r>
          </w:p>
        </w:tc>
        <w:tc>
          <w:tcPr>
            <w:tcW w:w="794" w:type="dxa"/>
            <w:tcMar>
              <w:top w:w="96" w:type="dxa"/>
              <w:left w:w="113" w:type="dxa"/>
              <w:bottom w:w="96" w:type="dxa"/>
              <w:right w:w="113" w:type="dxa"/>
            </w:tcMar>
            <w:vAlign w:val="center"/>
          </w:tcPr>
          <w:p w14:paraId="0F0D5D3C" w14:textId="77777777" w:rsidR="00913BE8" w:rsidRPr="00AE09DE" w:rsidRDefault="00913BE8" w:rsidP="001025DA">
            <w:pPr>
              <w:pStyle w:val="CDIFigure-Table-BodyTextCentre"/>
            </w:pPr>
            <w:r w:rsidRPr="00AE09DE">
              <w:t>1.75</w:t>
            </w:r>
          </w:p>
        </w:tc>
        <w:tc>
          <w:tcPr>
            <w:tcW w:w="737" w:type="dxa"/>
            <w:tcMar>
              <w:top w:w="96" w:type="dxa"/>
              <w:left w:w="113" w:type="dxa"/>
              <w:bottom w:w="96" w:type="dxa"/>
              <w:right w:w="113" w:type="dxa"/>
            </w:tcMar>
            <w:vAlign w:val="center"/>
          </w:tcPr>
          <w:p w14:paraId="0EBE6F43" w14:textId="77777777" w:rsidR="00913BE8" w:rsidRPr="00AE09DE" w:rsidRDefault="00913BE8" w:rsidP="001025DA">
            <w:pPr>
              <w:pStyle w:val="CDIFigure-Table-BodyTextCentre"/>
            </w:pPr>
            <w:r w:rsidRPr="00AE09DE">
              <w:t>2.22</w:t>
            </w:r>
          </w:p>
        </w:tc>
        <w:tc>
          <w:tcPr>
            <w:tcW w:w="737" w:type="dxa"/>
            <w:tcBorders>
              <w:right w:val="single" w:sz="4" w:space="0" w:color="033636" w:themeColor="text2"/>
            </w:tcBorders>
            <w:tcMar>
              <w:top w:w="96" w:type="dxa"/>
              <w:left w:w="113" w:type="dxa"/>
              <w:bottom w:w="96" w:type="dxa"/>
              <w:right w:w="113" w:type="dxa"/>
            </w:tcMar>
            <w:vAlign w:val="center"/>
          </w:tcPr>
          <w:p w14:paraId="3ABF141D" w14:textId="77777777" w:rsidR="00913BE8" w:rsidRPr="00AE09DE" w:rsidRDefault="00913BE8" w:rsidP="001025DA">
            <w:pPr>
              <w:pStyle w:val="CDIFigure-Table-BodyTextCentre"/>
            </w:pPr>
            <w:r w:rsidRPr="00AE09DE">
              <w:t>2.41</w:t>
            </w:r>
          </w:p>
        </w:tc>
        <w:tc>
          <w:tcPr>
            <w:tcW w:w="737" w:type="dxa"/>
            <w:tcBorders>
              <w:left w:val="single" w:sz="4" w:space="0" w:color="033636" w:themeColor="text2"/>
            </w:tcBorders>
            <w:tcMar>
              <w:top w:w="96" w:type="dxa"/>
              <w:left w:w="113" w:type="dxa"/>
              <w:bottom w:w="96" w:type="dxa"/>
              <w:right w:w="113" w:type="dxa"/>
            </w:tcMar>
            <w:vAlign w:val="center"/>
          </w:tcPr>
          <w:p w14:paraId="4F736DE8" w14:textId="77777777" w:rsidR="00913BE8" w:rsidRPr="00AE09DE" w:rsidRDefault="00913BE8" w:rsidP="001025DA">
            <w:pPr>
              <w:pStyle w:val="CDIFigure-Table-BodyTextCentre"/>
            </w:pPr>
            <w:r w:rsidRPr="00AE09DE">
              <w:t>0.87</w:t>
            </w:r>
          </w:p>
        </w:tc>
        <w:tc>
          <w:tcPr>
            <w:tcW w:w="1021" w:type="dxa"/>
            <w:tcBorders>
              <w:right w:val="single" w:sz="4" w:space="0" w:color="033636" w:themeColor="text2"/>
            </w:tcBorders>
            <w:tcMar>
              <w:top w:w="96" w:type="dxa"/>
              <w:left w:w="113" w:type="dxa"/>
              <w:bottom w:w="96" w:type="dxa"/>
              <w:right w:w="113" w:type="dxa"/>
            </w:tcMar>
            <w:vAlign w:val="center"/>
          </w:tcPr>
          <w:p w14:paraId="1A4C412A" w14:textId="77777777" w:rsidR="00913BE8" w:rsidRPr="00AE09DE" w:rsidRDefault="00913BE8" w:rsidP="001025DA">
            <w:pPr>
              <w:pStyle w:val="CDIFigure-Table-BodyTextCentre"/>
            </w:pPr>
            <w:r w:rsidRPr="00AE09DE">
              <w:t>0.31–2.39</w:t>
            </w:r>
          </w:p>
        </w:tc>
        <w:tc>
          <w:tcPr>
            <w:tcW w:w="737" w:type="dxa"/>
            <w:tcBorders>
              <w:left w:val="single" w:sz="4" w:space="0" w:color="033636" w:themeColor="text2"/>
            </w:tcBorders>
            <w:tcMar>
              <w:top w:w="96" w:type="dxa"/>
              <w:left w:w="113" w:type="dxa"/>
              <w:bottom w:w="96" w:type="dxa"/>
              <w:right w:w="113" w:type="dxa"/>
            </w:tcMar>
            <w:vAlign w:val="center"/>
          </w:tcPr>
          <w:p w14:paraId="7A6CA09A" w14:textId="77777777" w:rsidR="00913BE8" w:rsidRPr="00AE09DE" w:rsidRDefault="00913BE8" w:rsidP="001025DA">
            <w:pPr>
              <w:pStyle w:val="CDIFigure-Table-BodyTextCentre"/>
            </w:pPr>
            <w:r w:rsidRPr="00AE09DE">
              <w:t>0.94</w:t>
            </w:r>
          </w:p>
        </w:tc>
        <w:tc>
          <w:tcPr>
            <w:tcW w:w="1020" w:type="dxa"/>
            <w:tcBorders>
              <w:right w:val="single" w:sz="4" w:space="0" w:color="033636" w:themeColor="text2"/>
            </w:tcBorders>
            <w:tcMar>
              <w:top w:w="96" w:type="dxa"/>
              <w:left w:w="113" w:type="dxa"/>
              <w:bottom w:w="96" w:type="dxa"/>
              <w:right w:w="113" w:type="dxa"/>
            </w:tcMar>
            <w:vAlign w:val="center"/>
          </w:tcPr>
          <w:p w14:paraId="345A2490" w14:textId="77777777" w:rsidR="00913BE8" w:rsidRPr="00AE09DE" w:rsidRDefault="00913BE8" w:rsidP="001025DA">
            <w:pPr>
              <w:pStyle w:val="CDIFigure-Table-BodyTextCentre"/>
            </w:pPr>
            <w:r w:rsidRPr="00AE09DE">
              <w:t>0.34–2.59</w:t>
            </w:r>
          </w:p>
        </w:tc>
        <w:tc>
          <w:tcPr>
            <w:tcW w:w="737" w:type="dxa"/>
            <w:tcBorders>
              <w:left w:val="single" w:sz="4" w:space="0" w:color="033636" w:themeColor="text2"/>
            </w:tcBorders>
            <w:tcMar>
              <w:top w:w="96" w:type="dxa"/>
              <w:left w:w="113" w:type="dxa"/>
              <w:bottom w:w="96" w:type="dxa"/>
              <w:right w:w="113" w:type="dxa"/>
            </w:tcMar>
            <w:vAlign w:val="center"/>
          </w:tcPr>
          <w:p w14:paraId="01398275" w14:textId="77777777" w:rsidR="00913BE8" w:rsidRPr="00AE09DE" w:rsidRDefault="00913BE8" w:rsidP="001025DA">
            <w:pPr>
              <w:pStyle w:val="CDIFigure-Table-BodyTextCentre"/>
            </w:pPr>
            <w:r w:rsidRPr="00AE09DE">
              <w:t>1.26</w:t>
            </w:r>
          </w:p>
        </w:tc>
        <w:tc>
          <w:tcPr>
            <w:tcW w:w="1021" w:type="dxa"/>
            <w:tcBorders>
              <w:right w:val="single" w:sz="4" w:space="0" w:color="033636" w:themeColor="text2"/>
            </w:tcBorders>
            <w:tcMar>
              <w:top w:w="96" w:type="dxa"/>
              <w:left w:w="113" w:type="dxa"/>
              <w:bottom w:w="96" w:type="dxa"/>
              <w:right w:w="113" w:type="dxa"/>
            </w:tcMar>
            <w:vAlign w:val="center"/>
          </w:tcPr>
          <w:p w14:paraId="164E6353" w14:textId="77777777" w:rsidR="00913BE8" w:rsidRPr="00AE09DE" w:rsidRDefault="00913BE8" w:rsidP="001025DA">
            <w:pPr>
              <w:pStyle w:val="CDIFigure-Table-BodyTextCentre"/>
            </w:pPr>
            <w:r w:rsidRPr="00AE09DE">
              <w:t>0.53–3.02</w:t>
            </w:r>
          </w:p>
        </w:tc>
        <w:tc>
          <w:tcPr>
            <w:tcW w:w="737" w:type="dxa"/>
            <w:tcBorders>
              <w:left w:val="single" w:sz="4" w:space="0" w:color="033636" w:themeColor="text2"/>
            </w:tcBorders>
            <w:tcMar>
              <w:top w:w="96" w:type="dxa"/>
              <w:left w:w="113" w:type="dxa"/>
              <w:bottom w:w="96" w:type="dxa"/>
              <w:right w:w="113" w:type="dxa"/>
            </w:tcMar>
            <w:vAlign w:val="center"/>
          </w:tcPr>
          <w:p w14:paraId="5845300F" w14:textId="77777777" w:rsidR="00913BE8" w:rsidRPr="00AE09DE" w:rsidRDefault="00913BE8" w:rsidP="001025DA">
            <w:pPr>
              <w:pStyle w:val="CDIFigure-Table-BodyTextCentre"/>
            </w:pPr>
            <w:r w:rsidRPr="00AE09DE">
              <w:t>1.37</w:t>
            </w:r>
          </w:p>
        </w:tc>
        <w:tc>
          <w:tcPr>
            <w:tcW w:w="1020" w:type="dxa"/>
            <w:tcMar>
              <w:top w:w="96" w:type="dxa"/>
              <w:left w:w="113" w:type="dxa"/>
              <w:bottom w:w="96" w:type="dxa"/>
              <w:right w:w="113" w:type="dxa"/>
            </w:tcMar>
            <w:vAlign w:val="center"/>
          </w:tcPr>
          <w:p w14:paraId="71518AAC" w14:textId="77777777" w:rsidR="00913BE8" w:rsidRPr="00AE09DE" w:rsidRDefault="00913BE8" w:rsidP="001025DA">
            <w:pPr>
              <w:pStyle w:val="CDIFigure-Table-BodyTextCentre"/>
            </w:pPr>
            <w:r w:rsidRPr="00AE09DE">
              <w:t>0.58–3.28</w:t>
            </w:r>
          </w:p>
        </w:tc>
      </w:tr>
      <w:tr w:rsidR="00913BE8" w:rsidRPr="00AE09DE" w14:paraId="42EF0117"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5980312A" w14:textId="77777777" w:rsidR="00913BE8" w:rsidRPr="00913BE8" w:rsidRDefault="00913BE8" w:rsidP="00913BE8">
            <w:pPr>
              <w:pStyle w:val="CDIFigure-Table-BodyTextLeft"/>
            </w:pPr>
          </w:p>
        </w:tc>
        <w:tc>
          <w:tcPr>
            <w:tcW w:w="2891" w:type="dxa"/>
            <w:tcBorders>
              <w:bottom w:val="single" w:sz="4" w:space="0" w:color="033636" w:themeColor="text2"/>
            </w:tcBorders>
            <w:tcMar>
              <w:top w:w="96" w:type="dxa"/>
              <w:left w:w="113" w:type="dxa"/>
              <w:bottom w:w="96" w:type="dxa"/>
              <w:right w:w="113" w:type="dxa"/>
            </w:tcMar>
            <w:vAlign w:val="center"/>
          </w:tcPr>
          <w:p w14:paraId="25EB1098" w14:textId="77777777" w:rsidR="00913BE8" w:rsidRPr="00AE09DE" w:rsidRDefault="00913BE8" w:rsidP="001025DA">
            <w:pPr>
              <w:pStyle w:val="CDIFigure-Table-BodyTextLeft"/>
            </w:pPr>
            <w:r w:rsidRPr="00AE09DE">
              <w:t>Typhoid fever</w:t>
            </w:r>
          </w:p>
        </w:tc>
        <w:tc>
          <w:tcPr>
            <w:tcW w:w="737" w:type="dxa"/>
            <w:tcBorders>
              <w:bottom w:val="single" w:sz="4" w:space="0" w:color="033636" w:themeColor="text2"/>
            </w:tcBorders>
            <w:tcMar>
              <w:top w:w="96" w:type="dxa"/>
              <w:left w:w="113" w:type="dxa"/>
              <w:bottom w:w="96" w:type="dxa"/>
              <w:right w:w="113" w:type="dxa"/>
            </w:tcMar>
            <w:vAlign w:val="center"/>
          </w:tcPr>
          <w:p w14:paraId="45E8661E" w14:textId="77777777" w:rsidR="00913BE8" w:rsidRPr="00AE09DE" w:rsidRDefault="00913BE8" w:rsidP="001025DA">
            <w:pPr>
              <w:pStyle w:val="CDIFigure-Table-BodyTextCentre"/>
            </w:pPr>
            <w:r w:rsidRPr="00AE09DE">
              <w:t>0.79</w:t>
            </w:r>
          </w:p>
        </w:tc>
        <w:tc>
          <w:tcPr>
            <w:tcW w:w="794" w:type="dxa"/>
            <w:tcBorders>
              <w:bottom w:val="single" w:sz="4" w:space="0" w:color="033636" w:themeColor="text2"/>
            </w:tcBorders>
            <w:tcMar>
              <w:top w:w="96" w:type="dxa"/>
              <w:left w:w="113" w:type="dxa"/>
              <w:bottom w:w="96" w:type="dxa"/>
              <w:right w:w="113" w:type="dxa"/>
            </w:tcMar>
            <w:vAlign w:val="center"/>
          </w:tcPr>
          <w:p w14:paraId="7FA27100" w14:textId="77777777" w:rsidR="00913BE8" w:rsidRPr="00AE09DE" w:rsidRDefault="00913BE8" w:rsidP="001025DA">
            <w:pPr>
              <w:pStyle w:val="CDIFigure-Table-BodyTextCentre"/>
            </w:pPr>
            <w:r w:rsidRPr="00AE09DE">
              <w:t>0.59</w:t>
            </w:r>
          </w:p>
        </w:tc>
        <w:tc>
          <w:tcPr>
            <w:tcW w:w="737" w:type="dxa"/>
            <w:tcBorders>
              <w:bottom w:val="single" w:sz="4" w:space="0" w:color="033636" w:themeColor="text2"/>
            </w:tcBorders>
            <w:tcMar>
              <w:top w:w="96" w:type="dxa"/>
              <w:left w:w="113" w:type="dxa"/>
              <w:bottom w:w="96" w:type="dxa"/>
              <w:right w:w="113" w:type="dxa"/>
            </w:tcMar>
            <w:vAlign w:val="center"/>
          </w:tcPr>
          <w:p w14:paraId="15D6009E" w14:textId="77777777" w:rsidR="00913BE8" w:rsidRPr="00AE09DE" w:rsidRDefault="00913BE8" w:rsidP="001025DA">
            <w:pPr>
              <w:pStyle w:val="CDIFigure-Table-BodyTextCentre"/>
            </w:pPr>
            <w:r w:rsidRPr="00AE09DE">
              <w:t>0.34</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4DE26B5D" w14:textId="77777777" w:rsidR="00913BE8" w:rsidRPr="00AE09DE" w:rsidRDefault="00913BE8" w:rsidP="001025DA">
            <w:pPr>
              <w:pStyle w:val="CDIFigure-Table-BodyTextCentre"/>
            </w:pPr>
            <w:r w:rsidRPr="00AE09DE">
              <w:t>0.06</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023DB0F2" w14:textId="77777777" w:rsidR="00913BE8" w:rsidRPr="00AE09DE" w:rsidRDefault="00913BE8" w:rsidP="001025DA">
            <w:pPr>
              <w:pStyle w:val="CDIFigure-Table-BodyTextCentre"/>
            </w:pPr>
            <w:r w:rsidRPr="00AE09DE">
              <w:t>0.43</w:t>
            </w:r>
          </w:p>
        </w:tc>
        <w:tc>
          <w:tcPr>
            <w:tcW w:w="1021" w:type="dxa"/>
            <w:tcBorders>
              <w:bottom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3B9E572" w14:textId="77777777" w:rsidR="00913BE8" w:rsidRPr="00AE09DE" w:rsidRDefault="00913BE8" w:rsidP="001025DA">
            <w:pPr>
              <w:pStyle w:val="CDIFigure-Table-BodyTextCentre"/>
            </w:pPr>
            <w:r w:rsidRPr="00AE09DE">
              <w:t>0.28–0.67</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5DA3FC5D" w14:textId="77777777" w:rsidR="00913BE8" w:rsidRPr="00AE09DE" w:rsidRDefault="00913BE8" w:rsidP="001025DA">
            <w:pPr>
              <w:pStyle w:val="CDIFigure-Table-BodyTextCentre"/>
            </w:pPr>
            <w:r w:rsidRPr="00AE09DE">
              <w:t>0.08</w:t>
            </w:r>
          </w:p>
        </w:tc>
        <w:tc>
          <w:tcPr>
            <w:tcW w:w="1020" w:type="dxa"/>
            <w:tcBorders>
              <w:bottom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715643B" w14:textId="77777777" w:rsidR="00913BE8" w:rsidRPr="00AE09DE" w:rsidRDefault="00913BE8" w:rsidP="001025DA">
            <w:pPr>
              <w:pStyle w:val="CDIFigure-Table-BodyTextCentre"/>
            </w:pPr>
            <w:r w:rsidRPr="00AE09DE">
              <w:t>0.04–0.15</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0AB33395" w14:textId="77777777" w:rsidR="00913BE8" w:rsidRPr="00AE09DE" w:rsidRDefault="00913BE8" w:rsidP="001025DA">
            <w:pPr>
              <w:pStyle w:val="CDIFigure-Table-BodyTextCentre"/>
            </w:pPr>
            <w:r w:rsidRPr="00AE09DE">
              <w:t>0.58</w:t>
            </w:r>
          </w:p>
        </w:tc>
        <w:tc>
          <w:tcPr>
            <w:tcW w:w="1021" w:type="dxa"/>
            <w:tcBorders>
              <w:bottom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7CE9041" w14:textId="77777777" w:rsidR="00913BE8" w:rsidRPr="00AE09DE" w:rsidRDefault="00913BE8" w:rsidP="001025DA">
            <w:pPr>
              <w:pStyle w:val="CDIFigure-Table-BodyTextCentre"/>
            </w:pPr>
            <w:r w:rsidRPr="00AE09DE">
              <w:t>0.37–0.91</w:t>
            </w:r>
          </w:p>
        </w:tc>
        <w:tc>
          <w:tcPr>
            <w:tcW w:w="737" w:type="dxa"/>
            <w:tcBorders>
              <w:left w:val="single" w:sz="4" w:space="0" w:color="033636" w:themeColor="text2"/>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6A80DF22" w14:textId="77777777" w:rsidR="00913BE8" w:rsidRPr="00AE09DE" w:rsidRDefault="00913BE8" w:rsidP="001025DA">
            <w:pPr>
              <w:pStyle w:val="CDIFigure-Table-BodyTextCentre"/>
            </w:pPr>
            <w:r w:rsidRPr="00AE09DE">
              <w:t>0.10</w:t>
            </w:r>
          </w:p>
        </w:tc>
        <w:tc>
          <w:tcPr>
            <w:tcW w:w="1020" w:type="dxa"/>
            <w:tcBorders>
              <w:bottom w:val="single" w:sz="4" w:space="0" w:color="033636" w:themeColor="text2"/>
            </w:tcBorders>
            <w:shd w:val="clear" w:color="auto" w:fill="93F9F9" w:themeFill="text2" w:themeFillTint="40"/>
            <w:tcMar>
              <w:top w:w="96" w:type="dxa"/>
              <w:left w:w="113" w:type="dxa"/>
              <w:bottom w:w="96" w:type="dxa"/>
              <w:right w:w="113" w:type="dxa"/>
            </w:tcMar>
            <w:vAlign w:val="center"/>
          </w:tcPr>
          <w:p w14:paraId="6CFD0D2A" w14:textId="77777777" w:rsidR="00913BE8" w:rsidRPr="00AE09DE" w:rsidRDefault="00913BE8" w:rsidP="001025DA">
            <w:pPr>
              <w:pStyle w:val="CDIFigure-Table-BodyTextCentre"/>
            </w:pPr>
            <w:r w:rsidRPr="00AE09DE">
              <w:t>0.06–0.20</w:t>
            </w:r>
          </w:p>
        </w:tc>
      </w:tr>
      <w:tr w:rsidR="00913BE8" w:rsidRPr="00AE09DE" w14:paraId="4BC85C82" w14:textId="77777777" w:rsidTr="00554FA2">
        <w:trPr>
          <w:divId w:val="935526654"/>
          <w:trHeight w:val="20"/>
        </w:trPr>
        <w:tc>
          <w:tcPr>
            <w:tcW w:w="1474" w:type="dxa"/>
            <w:vMerge w:val="restart"/>
            <w:tcBorders>
              <w:top w:val="single" w:sz="4" w:space="0" w:color="033636" w:themeColor="text2"/>
            </w:tcBorders>
            <w:shd w:val="clear" w:color="auto" w:fill="C5FFEF" w:themeFill="background2" w:themeFillTint="33"/>
            <w:tcMar>
              <w:top w:w="96" w:type="dxa"/>
              <w:left w:w="113" w:type="dxa"/>
              <w:bottom w:w="96" w:type="dxa"/>
              <w:right w:w="113" w:type="dxa"/>
            </w:tcMar>
            <w:vAlign w:val="center"/>
          </w:tcPr>
          <w:p w14:paraId="66099A82" w14:textId="77777777" w:rsidR="00913BE8" w:rsidRPr="00AE09DE" w:rsidRDefault="00913BE8" w:rsidP="001025DA">
            <w:pPr>
              <w:pStyle w:val="CDIFigure-Table-BodyTextLeft"/>
            </w:pPr>
            <w:r w:rsidRPr="00AE09DE">
              <w:t>Other diseases</w:t>
            </w:r>
          </w:p>
        </w:tc>
        <w:tc>
          <w:tcPr>
            <w:tcW w:w="2891" w:type="dxa"/>
            <w:tcBorders>
              <w:top w:val="single" w:sz="4" w:space="0" w:color="033636" w:themeColor="text2"/>
            </w:tcBorders>
            <w:tcMar>
              <w:top w:w="96" w:type="dxa"/>
              <w:left w:w="113" w:type="dxa"/>
              <w:bottom w:w="96" w:type="dxa"/>
              <w:right w:w="113" w:type="dxa"/>
            </w:tcMar>
            <w:vAlign w:val="center"/>
          </w:tcPr>
          <w:p w14:paraId="19794E30" w14:textId="77777777" w:rsidR="00913BE8" w:rsidRPr="00AE09DE" w:rsidRDefault="00913BE8" w:rsidP="001025DA">
            <w:pPr>
              <w:pStyle w:val="CDIFigure-Table-BodyTextLeft"/>
            </w:pPr>
            <w:r w:rsidRPr="00AE09DE">
              <w:t>Legionellosis</w:t>
            </w:r>
          </w:p>
        </w:tc>
        <w:tc>
          <w:tcPr>
            <w:tcW w:w="737" w:type="dxa"/>
            <w:tcBorders>
              <w:top w:val="single" w:sz="4" w:space="0" w:color="033636" w:themeColor="text2"/>
            </w:tcBorders>
            <w:tcMar>
              <w:top w:w="96" w:type="dxa"/>
              <w:left w:w="113" w:type="dxa"/>
              <w:bottom w:w="96" w:type="dxa"/>
              <w:right w:w="113" w:type="dxa"/>
            </w:tcMar>
            <w:vAlign w:val="center"/>
          </w:tcPr>
          <w:p w14:paraId="5DB93C8F" w14:textId="77777777" w:rsidR="00913BE8" w:rsidRPr="00AE09DE" w:rsidRDefault="00913BE8" w:rsidP="001025DA">
            <w:pPr>
              <w:pStyle w:val="CDIFigure-Table-BodyTextCentre"/>
            </w:pPr>
            <w:r w:rsidRPr="00AE09DE">
              <w:t>1.72</w:t>
            </w:r>
          </w:p>
        </w:tc>
        <w:tc>
          <w:tcPr>
            <w:tcW w:w="794" w:type="dxa"/>
            <w:tcBorders>
              <w:top w:val="single" w:sz="4" w:space="0" w:color="033636" w:themeColor="text2"/>
            </w:tcBorders>
            <w:tcMar>
              <w:top w:w="96" w:type="dxa"/>
              <w:left w:w="113" w:type="dxa"/>
              <w:bottom w:w="96" w:type="dxa"/>
              <w:right w:w="113" w:type="dxa"/>
            </w:tcMar>
            <w:vAlign w:val="center"/>
          </w:tcPr>
          <w:p w14:paraId="265531D6" w14:textId="77777777" w:rsidR="00913BE8" w:rsidRPr="00AE09DE" w:rsidRDefault="00913BE8" w:rsidP="001025DA">
            <w:pPr>
              <w:pStyle w:val="CDIFigure-Table-BodyTextCentre"/>
            </w:pPr>
            <w:r w:rsidRPr="00AE09DE">
              <w:t>1.62</w:t>
            </w:r>
          </w:p>
        </w:tc>
        <w:tc>
          <w:tcPr>
            <w:tcW w:w="737" w:type="dxa"/>
            <w:tcBorders>
              <w:top w:val="single" w:sz="4" w:space="0" w:color="033636" w:themeColor="text2"/>
            </w:tcBorders>
            <w:tcMar>
              <w:top w:w="96" w:type="dxa"/>
              <w:left w:w="113" w:type="dxa"/>
              <w:bottom w:w="96" w:type="dxa"/>
              <w:right w:w="113" w:type="dxa"/>
            </w:tcMar>
            <w:vAlign w:val="center"/>
          </w:tcPr>
          <w:p w14:paraId="2D65AA32" w14:textId="77777777" w:rsidR="00913BE8" w:rsidRPr="00AE09DE" w:rsidRDefault="00913BE8" w:rsidP="001025DA">
            <w:pPr>
              <w:pStyle w:val="CDIFigure-Table-BodyTextCentre"/>
            </w:pPr>
            <w:r w:rsidRPr="00AE09DE">
              <w:t>2.05</w:t>
            </w:r>
          </w:p>
        </w:tc>
        <w:tc>
          <w:tcPr>
            <w:tcW w:w="737"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303F16A2" w14:textId="77777777" w:rsidR="00913BE8" w:rsidRPr="00AE09DE" w:rsidRDefault="00913BE8" w:rsidP="001025DA">
            <w:pPr>
              <w:pStyle w:val="CDIFigure-Table-BodyTextCentre"/>
            </w:pPr>
            <w:r w:rsidRPr="00AE09DE">
              <w:t>2.23</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7F540FDA" w14:textId="77777777" w:rsidR="00913BE8" w:rsidRPr="00AE09DE" w:rsidRDefault="00913BE8" w:rsidP="001025DA">
            <w:pPr>
              <w:pStyle w:val="CDIFigure-Table-BodyTextCentre"/>
            </w:pPr>
            <w:r w:rsidRPr="00AE09DE">
              <w:t>1.19</w:t>
            </w:r>
          </w:p>
        </w:tc>
        <w:tc>
          <w:tcPr>
            <w:tcW w:w="1021" w:type="dxa"/>
            <w:tcBorders>
              <w:top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56F11794" w14:textId="77777777" w:rsidR="00913BE8" w:rsidRPr="00AE09DE" w:rsidRDefault="00913BE8" w:rsidP="001025DA">
            <w:pPr>
              <w:pStyle w:val="CDIFigure-Table-BodyTextCentre"/>
            </w:pPr>
            <w:r w:rsidRPr="00AE09DE">
              <w:t>1.05–1.35</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7A226C7E" w14:textId="77777777" w:rsidR="00913BE8" w:rsidRPr="00AE09DE" w:rsidRDefault="00913BE8" w:rsidP="001025DA">
            <w:pPr>
              <w:pStyle w:val="CDIFigure-Table-BodyTextCentre"/>
            </w:pPr>
            <w:r w:rsidRPr="00AE09DE">
              <w:t>1.30</w:t>
            </w:r>
          </w:p>
        </w:tc>
        <w:tc>
          <w:tcPr>
            <w:tcW w:w="1020" w:type="dxa"/>
            <w:tcBorders>
              <w:top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15A914EA" w14:textId="77777777" w:rsidR="00913BE8" w:rsidRPr="00AE09DE" w:rsidRDefault="00913BE8" w:rsidP="001025DA">
            <w:pPr>
              <w:pStyle w:val="CDIFigure-Table-BodyTextCentre"/>
            </w:pPr>
            <w:r w:rsidRPr="00AE09DE">
              <w:t>1.14–1.47</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1294014B" w14:textId="77777777" w:rsidR="00913BE8" w:rsidRPr="00AE09DE" w:rsidRDefault="00913BE8" w:rsidP="001025DA">
            <w:pPr>
              <w:pStyle w:val="CDIFigure-Table-BodyTextCentre"/>
            </w:pPr>
            <w:r w:rsidRPr="00AE09DE">
              <w:t>1.27</w:t>
            </w:r>
          </w:p>
        </w:tc>
        <w:tc>
          <w:tcPr>
            <w:tcW w:w="1021" w:type="dxa"/>
            <w:tcBorders>
              <w:top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53025B22" w14:textId="77777777" w:rsidR="00913BE8" w:rsidRPr="00AE09DE" w:rsidRDefault="00913BE8" w:rsidP="001025DA">
            <w:pPr>
              <w:pStyle w:val="CDIFigure-Table-BodyTextCentre"/>
            </w:pPr>
            <w:r w:rsidRPr="00AE09DE">
              <w:t>1.14–1.42</w:t>
            </w:r>
          </w:p>
        </w:tc>
        <w:tc>
          <w:tcPr>
            <w:tcW w:w="737" w:type="dxa"/>
            <w:tcBorders>
              <w:top w:val="single" w:sz="4" w:space="0" w:color="033636" w:themeColor="text2"/>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1C6F0CBB" w14:textId="77777777" w:rsidR="00913BE8" w:rsidRPr="00AE09DE" w:rsidRDefault="00913BE8" w:rsidP="001025DA">
            <w:pPr>
              <w:pStyle w:val="CDIFigure-Table-BodyTextCentre"/>
            </w:pPr>
            <w:r w:rsidRPr="00AE09DE">
              <w:t>1.38</w:t>
            </w:r>
          </w:p>
        </w:tc>
        <w:tc>
          <w:tcPr>
            <w:tcW w:w="1020" w:type="dxa"/>
            <w:tcBorders>
              <w:top w:val="single" w:sz="4" w:space="0" w:color="033636" w:themeColor="text2"/>
            </w:tcBorders>
            <w:shd w:val="clear" w:color="auto" w:fill="FFDBC0" w:themeFill="accent4" w:themeFillTint="33"/>
            <w:tcMar>
              <w:top w:w="96" w:type="dxa"/>
              <w:left w:w="113" w:type="dxa"/>
              <w:bottom w:w="96" w:type="dxa"/>
              <w:right w:w="113" w:type="dxa"/>
            </w:tcMar>
            <w:vAlign w:val="center"/>
          </w:tcPr>
          <w:p w14:paraId="6B48328E" w14:textId="77777777" w:rsidR="00913BE8" w:rsidRPr="00AE09DE" w:rsidRDefault="00913BE8" w:rsidP="001025DA">
            <w:pPr>
              <w:pStyle w:val="CDIFigure-Table-BodyTextCentre"/>
            </w:pPr>
            <w:r w:rsidRPr="00AE09DE">
              <w:t>1.24–1.53</w:t>
            </w:r>
          </w:p>
        </w:tc>
      </w:tr>
      <w:tr w:rsidR="00913BE8" w:rsidRPr="00AE09DE" w14:paraId="2716B1DD" w14:textId="77777777" w:rsidTr="00554FA2">
        <w:trPr>
          <w:divId w:val="935526654"/>
          <w:trHeight w:val="20"/>
        </w:trPr>
        <w:tc>
          <w:tcPr>
            <w:tcW w:w="1474" w:type="dxa"/>
            <w:vMerge/>
            <w:shd w:val="clear" w:color="auto" w:fill="C5FFEF" w:themeFill="background2" w:themeFillTint="33"/>
          </w:tcPr>
          <w:p w14:paraId="6091C8DB"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53D36D66" w14:textId="77777777" w:rsidR="00913BE8" w:rsidRPr="00263EAD" w:rsidRDefault="00913BE8" w:rsidP="00263EAD">
            <w:pPr>
              <w:pStyle w:val="CDIFigure-Table-BodyTextLeft"/>
              <w:rPr>
                <w:i/>
                <w:iCs/>
              </w:rPr>
            </w:pPr>
            <w:r w:rsidRPr="00263EAD">
              <w:rPr>
                <w:i/>
                <w:iCs/>
              </w:rPr>
              <w:t>L. longbeachae</w:t>
            </w:r>
          </w:p>
        </w:tc>
        <w:tc>
          <w:tcPr>
            <w:tcW w:w="737" w:type="dxa"/>
            <w:tcMar>
              <w:top w:w="96" w:type="dxa"/>
              <w:left w:w="113" w:type="dxa"/>
              <w:bottom w:w="96" w:type="dxa"/>
              <w:right w:w="113" w:type="dxa"/>
            </w:tcMar>
            <w:vAlign w:val="center"/>
          </w:tcPr>
          <w:p w14:paraId="7118B4D9" w14:textId="77777777" w:rsidR="00913BE8" w:rsidRPr="00AE09DE" w:rsidRDefault="00913BE8" w:rsidP="001025DA">
            <w:pPr>
              <w:pStyle w:val="CDIFigure-Table-BodyTextCentre"/>
            </w:pPr>
            <w:r w:rsidRPr="00AE09DE">
              <w:t>0.76</w:t>
            </w:r>
          </w:p>
        </w:tc>
        <w:tc>
          <w:tcPr>
            <w:tcW w:w="794" w:type="dxa"/>
            <w:tcMar>
              <w:top w:w="96" w:type="dxa"/>
              <w:left w:w="113" w:type="dxa"/>
              <w:bottom w:w="96" w:type="dxa"/>
              <w:right w:w="113" w:type="dxa"/>
            </w:tcMar>
            <w:vAlign w:val="center"/>
          </w:tcPr>
          <w:p w14:paraId="5BDEDE05" w14:textId="77777777" w:rsidR="00913BE8" w:rsidRPr="00AE09DE" w:rsidRDefault="00913BE8" w:rsidP="001025DA">
            <w:pPr>
              <w:pStyle w:val="CDIFigure-Table-BodyTextCentre"/>
            </w:pPr>
            <w:r w:rsidRPr="00AE09DE">
              <w:t>0.67</w:t>
            </w:r>
          </w:p>
        </w:tc>
        <w:tc>
          <w:tcPr>
            <w:tcW w:w="737" w:type="dxa"/>
            <w:tcMar>
              <w:top w:w="96" w:type="dxa"/>
              <w:left w:w="113" w:type="dxa"/>
              <w:bottom w:w="96" w:type="dxa"/>
              <w:right w:w="113" w:type="dxa"/>
            </w:tcMar>
            <w:vAlign w:val="center"/>
          </w:tcPr>
          <w:p w14:paraId="0FF842F5" w14:textId="77777777" w:rsidR="00913BE8" w:rsidRPr="00AE09DE" w:rsidRDefault="00913BE8" w:rsidP="001025DA">
            <w:pPr>
              <w:pStyle w:val="CDIFigure-Table-BodyTextCentre"/>
            </w:pPr>
            <w:r w:rsidRPr="00AE09DE">
              <w:t>1.05</w:t>
            </w:r>
          </w:p>
        </w:tc>
        <w:tc>
          <w:tcPr>
            <w:tcW w:w="737" w:type="dxa"/>
            <w:tcBorders>
              <w:right w:val="single" w:sz="4" w:space="0" w:color="033636" w:themeColor="text2"/>
            </w:tcBorders>
            <w:tcMar>
              <w:top w:w="96" w:type="dxa"/>
              <w:left w:w="113" w:type="dxa"/>
              <w:bottom w:w="96" w:type="dxa"/>
              <w:right w:w="113" w:type="dxa"/>
            </w:tcMar>
            <w:vAlign w:val="center"/>
          </w:tcPr>
          <w:p w14:paraId="422D5C03" w14:textId="77777777" w:rsidR="00913BE8" w:rsidRPr="00AE09DE" w:rsidRDefault="00913BE8" w:rsidP="001025DA">
            <w:pPr>
              <w:pStyle w:val="CDIFigure-Table-BodyTextCentre"/>
            </w:pPr>
            <w:r w:rsidRPr="00AE09DE">
              <w:t>1.10</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612FC2F8" w14:textId="77777777" w:rsidR="00913BE8" w:rsidRPr="00AE09DE" w:rsidRDefault="00913BE8" w:rsidP="001025DA">
            <w:pPr>
              <w:pStyle w:val="CDIFigure-Table-BodyTextCentre"/>
            </w:pPr>
            <w:r w:rsidRPr="00AE09DE">
              <w:t>1.37</w:t>
            </w:r>
          </w:p>
        </w:tc>
        <w:tc>
          <w:tcPr>
            <w:tcW w:w="1021" w:type="dxa"/>
            <w:tcBorders>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005782CF" w14:textId="77777777" w:rsidR="00913BE8" w:rsidRPr="00AE09DE" w:rsidRDefault="00913BE8" w:rsidP="001025DA">
            <w:pPr>
              <w:pStyle w:val="CDIFigure-Table-BodyTextCentre"/>
            </w:pPr>
            <w:r w:rsidRPr="00AE09DE">
              <w:t>1.14–1.65</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3841E317" w14:textId="77777777" w:rsidR="00913BE8" w:rsidRPr="00AE09DE" w:rsidRDefault="00913BE8" w:rsidP="001025DA">
            <w:pPr>
              <w:pStyle w:val="CDIFigure-Table-BodyTextCentre"/>
            </w:pPr>
            <w:r w:rsidRPr="00AE09DE">
              <w:t>1.45</w:t>
            </w:r>
          </w:p>
        </w:tc>
        <w:tc>
          <w:tcPr>
            <w:tcW w:w="1020" w:type="dxa"/>
            <w:tcBorders>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52B1C36C" w14:textId="77777777" w:rsidR="00913BE8" w:rsidRPr="00AE09DE" w:rsidRDefault="00913BE8" w:rsidP="001025DA">
            <w:pPr>
              <w:pStyle w:val="CDIFigure-Table-BodyTextCentre"/>
            </w:pPr>
            <w:r w:rsidRPr="00AE09DE">
              <w:t>1.21–1.74</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08A2D4D6" w14:textId="77777777" w:rsidR="00913BE8" w:rsidRPr="00AE09DE" w:rsidRDefault="00913BE8" w:rsidP="001025DA">
            <w:pPr>
              <w:pStyle w:val="CDIFigure-Table-BodyTextCentre"/>
            </w:pPr>
            <w:r w:rsidRPr="00AE09DE">
              <w:t>1.57</w:t>
            </w:r>
          </w:p>
        </w:tc>
        <w:tc>
          <w:tcPr>
            <w:tcW w:w="1021" w:type="dxa"/>
            <w:tcBorders>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69CBDDF9" w14:textId="77777777" w:rsidR="00913BE8" w:rsidRPr="00AE09DE" w:rsidRDefault="00913BE8" w:rsidP="001025DA">
            <w:pPr>
              <w:pStyle w:val="CDIFigure-Table-BodyTextCentre"/>
            </w:pPr>
            <w:r w:rsidRPr="00AE09DE">
              <w:t>1.36–1.81</w:t>
            </w:r>
          </w:p>
        </w:tc>
        <w:tc>
          <w:tcPr>
            <w:tcW w:w="737" w:type="dxa"/>
            <w:tcBorders>
              <w:left w:val="single" w:sz="4" w:space="0" w:color="033636" w:themeColor="text2"/>
            </w:tcBorders>
            <w:shd w:val="clear" w:color="auto" w:fill="FFDBC0" w:themeFill="accent4" w:themeFillTint="33"/>
            <w:tcMar>
              <w:top w:w="96" w:type="dxa"/>
              <w:left w:w="113" w:type="dxa"/>
              <w:bottom w:w="96" w:type="dxa"/>
              <w:right w:w="113" w:type="dxa"/>
            </w:tcMar>
            <w:vAlign w:val="center"/>
          </w:tcPr>
          <w:p w14:paraId="4D0F7731" w14:textId="77777777" w:rsidR="00913BE8" w:rsidRPr="00AE09DE" w:rsidRDefault="00913BE8" w:rsidP="001025DA">
            <w:pPr>
              <w:pStyle w:val="CDIFigure-Table-BodyTextCentre"/>
            </w:pPr>
            <w:r w:rsidRPr="00AE09DE">
              <w:t>1.65</w:t>
            </w:r>
          </w:p>
        </w:tc>
        <w:tc>
          <w:tcPr>
            <w:tcW w:w="1020" w:type="dxa"/>
            <w:shd w:val="clear" w:color="auto" w:fill="FFDBC0" w:themeFill="accent4" w:themeFillTint="33"/>
            <w:tcMar>
              <w:top w:w="96" w:type="dxa"/>
              <w:left w:w="113" w:type="dxa"/>
              <w:bottom w:w="96" w:type="dxa"/>
              <w:right w:w="113" w:type="dxa"/>
            </w:tcMar>
            <w:vAlign w:val="center"/>
          </w:tcPr>
          <w:p w14:paraId="655C758E" w14:textId="77777777" w:rsidR="00913BE8" w:rsidRPr="00AE09DE" w:rsidRDefault="00913BE8" w:rsidP="001025DA">
            <w:pPr>
              <w:pStyle w:val="CDIFigure-Table-BodyTextCentre"/>
            </w:pPr>
            <w:r w:rsidRPr="00AE09DE">
              <w:t>1.43–1.90</w:t>
            </w:r>
          </w:p>
        </w:tc>
      </w:tr>
      <w:tr w:rsidR="00913BE8" w:rsidRPr="00AE09DE" w14:paraId="31057D09" w14:textId="77777777" w:rsidTr="00554FA2">
        <w:trPr>
          <w:divId w:val="935526654"/>
          <w:trHeight w:val="20"/>
        </w:trPr>
        <w:tc>
          <w:tcPr>
            <w:tcW w:w="1474" w:type="dxa"/>
            <w:vMerge/>
            <w:shd w:val="clear" w:color="auto" w:fill="C5FFEF" w:themeFill="background2" w:themeFillTint="33"/>
          </w:tcPr>
          <w:p w14:paraId="2CB226A1" w14:textId="77777777" w:rsidR="00913BE8" w:rsidRPr="00AE09DE" w:rsidRDefault="00913BE8" w:rsidP="001025DA">
            <w:pPr>
              <w:pStyle w:val="CDIFigure-Table-BodyTextLeft"/>
            </w:pPr>
          </w:p>
        </w:tc>
        <w:tc>
          <w:tcPr>
            <w:tcW w:w="2891" w:type="dxa"/>
            <w:tcMar>
              <w:top w:w="96" w:type="dxa"/>
              <w:left w:w="113" w:type="dxa"/>
              <w:bottom w:w="96" w:type="dxa"/>
              <w:right w:w="113" w:type="dxa"/>
            </w:tcMar>
            <w:vAlign w:val="center"/>
          </w:tcPr>
          <w:p w14:paraId="4980C2EF" w14:textId="77777777" w:rsidR="00913BE8" w:rsidRPr="00263EAD" w:rsidRDefault="00913BE8" w:rsidP="00263EAD">
            <w:pPr>
              <w:pStyle w:val="CDIFigure-Table-BodyTextLeft"/>
              <w:rPr>
                <w:i/>
                <w:iCs/>
              </w:rPr>
            </w:pPr>
            <w:r w:rsidRPr="00263EAD">
              <w:rPr>
                <w:i/>
                <w:iCs/>
              </w:rPr>
              <w:t>L. pneumophila</w:t>
            </w:r>
          </w:p>
        </w:tc>
        <w:tc>
          <w:tcPr>
            <w:tcW w:w="737" w:type="dxa"/>
            <w:tcMar>
              <w:top w:w="96" w:type="dxa"/>
              <w:left w:w="113" w:type="dxa"/>
              <w:bottom w:w="96" w:type="dxa"/>
              <w:right w:w="113" w:type="dxa"/>
            </w:tcMar>
            <w:vAlign w:val="center"/>
          </w:tcPr>
          <w:p w14:paraId="6BC3197F" w14:textId="77777777" w:rsidR="00913BE8" w:rsidRPr="00AE09DE" w:rsidRDefault="00913BE8" w:rsidP="001025DA">
            <w:pPr>
              <w:pStyle w:val="CDIFigure-Table-BodyTextCentre"/>
            </w:pPr>
            <w:r w:rsidRPr="00AE09DE">
              <w:t>0.90</w:t>
            </w:r>
          </w:p>
        </w:tc>
        <w:tc>
          <w:tcPr>
            <w:tcW w:w="794" w:type="dxa"/>
            <w:tcMar>
              <w:top w:w="96" w:type="dxa"/>
              <w:left w:w="113" w:type="dxa"/>
              <w:bottom w:w="96" w:type="dxa"/>
              <w:right w:w="113" w:type="dxa"/>
            </w:tcMar>
            <w:vAlign w:val="center"/>
          </w:tcPr>
          <w:p w14:paraId="36B612B3" w14:textId="77777777" w:rsidR="00913BE8" w:rsidRPr="00AE09DE" w:rsidRDefault="00913BE8" w:rsidP="001025DA">
            <w:pPr>
              <w:pStyle w:val="CDIFigure-Table-BodyTextCentre"/>
            </w:pPr>
            <w:r w:rsidRPr="00AE09DE">
              <w:t>0.90</w:t>
            </w:r>
          </w:p>
        </w:tc>
        <w:tc>
          <w:tcPr>
            <w:tcW w:w="737" w:type="dxa"/>
            <w:tcMar>
              <w:top w:w="96" w:type="dxa"/>
              <w:left w:w="113" w:type="dxa"/>
              <w:bottom w:w="96" w:type="dxa"/>
              <w:right w:w="113" w:type="dxa"/>
            </w:tcMar>
            <w:vAlign w:val="center"/>
          </w:tcPr>
          <w:p w14:paraId="01F836B8" w14:textId="77777777" w:rsidR="00913BE8" w:rsidRPr="00AE09DE" w:rsidRDefault="00913BE8" w:rsidP="001025DA">
            <w:pPr>
              <w:pStyle w:val="CDIFigure-Table-BodyTextCentre"/>
            </w:pPr>
            <w:r w:rsidRPr="00AE09DE">
              <w:t>0.91</w:t>
            </w:r>
          </w:p>
        </w:tc>
        <w:tc>
          <w:tcPr>
            <w:tcW w:w="737" w:type="dxa"/>
            <w:tcBorders>
              <w:right w:val="single" w:sz="4" w:space="0" w:color="033636" w:themeColor="text2"/>
            </w:tcBorders>
            <w:tcMar>
              <w:top w:w="96" w:type="dxa"/>
              <w:left w:w="113" w:type="dxa"/>
              <w:bottom w:w="96" w:type="dxa"/>
              <w:right w:w="113" w:type="dxa"/>
            </w:tcMar>
            <w:vAlign w:val="center"/>
          </w:tcPr>
          <w:p w14:paraId="2A57F495" w14:textId="77777777" w:rsidR="00913BE8" w:rsidRPr="00AE09DE" w:rsidRDefault="00913BE8" w:rsidP="001025DA">
            <w:pPr>
              <w:pStyle w:val="CDIFigure-Table-BodyTextCentre"/>
            </w:pPr>
            <w:r w:rsidRPr="00AE09DE">
              <w:t>1.01</w:t>
            </w:r>
          </w:p>
        </w:tc>
        <w:tc>
          <w:tcPr>
            <w:tcW w:w="737" w:type="dxa"/>
            <w:tcBorders>
              <w:left w:val="single" w:sz="4" w:space="0" w:color="033636" w:themeColor="text2"/>
            </w:tcBorders>
            <w:tcMar>
              <w:top w:w="96" w:type="dxa"/>
              <w:left w:w="113" w:type="dxa"/>
              <w:bottom w:w="96" w:type="dxa"/>
              <w:right w:w="113" w:type="dxa"/>
            </w:tcMar>
            <w:vAlign w:val="center"/>
          </w:tcPr>
          <w:p w14:paraId="0B4EB367" w14:textId="77777777" w:rsidR="00913BE8" w:rsidRPr="00AE09DE" w:rsidRDefault="00913BE8" w:rsidP="001025DA">
            <w:pPr>
              <w:pStyle w:val="CDIFigure-Table-BodyTextCentre"/>
            </w:pPr>
            <w:r w:rsidRPr="00AE09DE">
              <w:t>1.01</w:t>
            </w:r>
          </w:p>
        </w:tc>
        <w:tc>
          <w:tcPr>
            <w:tcW w:w="1021" w:type="dxa"/>
            <w:tcBorders>
              <w:right w:val="single" w:sz="4" w:space="0" w:color="033636" w:themeColor="text2"/>
            </w:tcBorders>
            <w:tcMar>
              <w:top w:w="96" w:type="dxa"/>
              <w:left w:w="113" w:type="dxa"/>
              <w:bottom w:w="96" w:type="dxa"/>
              <w:right w:w="113" w:type="dxa"/>
            </w:tcMar>
            <w:vAlign w:val="center"/>
          </w:tcPr>
          <w:p w14:paraId="65453488" w14:textId="77777777" w:rsidR="00913BE8" w:rsidRPr="00AE09DE" w:rsidRDefault="00913BE8" w:rsidP="001025DA">
            <w:pPr>
              <w:pStyle w:val="CDIFigure-Table-BodyTextCentre"/>
            </w:pPr>
            <w:r w:rsidRPr="00AE09DE">
              <w:t>0.84–1.21</w:t>
            </w:r>
          </w:p>
        </w:tc>
        <w:tc>
          <w:tcPr>
            <w:tcW w:w="737" w:type="dxa"/>
            <w:tcBorders>
              <w:left w:val="single" w:sz="4" w:space="0" w:color="033636" w:themeColor="text2"/>
            </w:tcBorders>
            <w:tcMar>
              <w:top w:w="96" w:type="dxa"/>
              <w:left w:w="113" w:type="dxa"/>
              <w:bottom w:w="96" w:type="dxa"/>
              <w:right w:w="113" w:type="dxa"/>
            </w:tcMar>
            <w:vAlign w:val="center"/>
          </w:tcPr>
          <w:p w14:paraId="2AFD3580" w14:textId="77777777" w:rsidR="00913BE8" w:rsidRPr="00AE09DE" w:rsidRDefault="00913BE8" w:rsidP="001025DA">
            <w:pPr>
              <w:pStyle w:val="CDIFigure-Table-BodyTextCentre"/>
            </w:pPr>
            <w:r w:rsidRPr="00AE09DE">
              <w:t>1.11</w:t>
            </w:r>
          </w:p>
        </w:tc>
        <w:tc>
          <w:tcPr>
            <w:tcW w:w="1020" w:type="dxa"/>
            <w:tcBorders>
              <w:right w:val="single" w:sz="4" w:space="0" w:color="033636" w:themeColor="text2"/>
            </w:tcBorders>
            <w:tcMar>
              <w:top w:w="96" w:type="dxa"/>
              <w:left w:w="113" w:type="dxa"/>
              <w:bottom w:w="96" w:type="dxa"/>
              <w:right w:w="113" w:type="dxa"/>
            </w:tcMar>
            <w:vAlign w:val="center"/>
          </w:tcPr>
          <w:p w14:paraId="4EFA3F26" w14:textId="77777777" w:rsidR="00913BE8" w:rsidRPr="00AE09DE" w:rsidRDefault="00913BE8" w:rsidP="001025DA">
            <w:pPr>
              <w:pStyle w:val="CDIFigure-Table-BodyTextCentre"/>
            </w:pPr>
            <w:r w:rsidRPr="00AE09DE">
              <w:t>0.93–1.33</w:t>
            </w:r>
          </w:p>
        </w:tc>
        <w:tc>
          <w:tcPr>
            <w:tcW w:w="737" w:type="dxa"/>
            <w:tcBorders>
              <w:left w:val="single" w:sz="4" w:space="0" w:color="033636" w:themeColor="text2"/>
            </w:tcBorders>
            <w:tcMar>
              <w:top w:w="96" w:type="dxa"/>
              <w:left w:w="113" w:type="dxa"/>
              <w:bottom w:w="96" w:type="dxa"/>
              <w:right w:w="113" w:type="dxa"/>
            </w:tcMar>
            <w:vAlign w:val="center"/>
          </w:tcPr>
          <w:p w14:paraId="715571DD" w14:textId="77777777" w:rsidR="00913BE8" w:rsidRPr="00AE09DE" w:rsidRDefault="00913BE8" w:rsidP="001025DA">
            <w:pPr>
              <w:pStyle w:val="CDIFigure-Table-BodyTextCentre"/>
            </w:pPr>
            <w:r w:rsidRPr="00AE09DE">
              <w:t>1.01</w:t>
            </w:r>
          </w:p>
        </w:tc>
        <w:tc>
          <w:tcPr>
            <w:tcW w:w="1021" w:type="dxa"/>
            <w:tcBorders>
              <w:right w:val="single" w:sz="4" w:space="0" w:color="033636" w:themeColor="text2"/>
            </w:tcBorders>
            <w:tcMar>
              <w:top w:w="96" w:type="dxa"/>
              <w:left w:w="113" w:type="dxa"/>
              <w:bottom w:w="96" w:type="dxa"/>
              <w:right w:w="113" w:type="dxa"/>
            </w:tcMar>
            <w:vAlign w:val="center"/>
          </w:tcPr>
          <w:p w14:paraId="75FE1C0D" w14:textId="77777777" w:rsidR="00913BE8" w:rsidRPr="00AE09DE" w:rsidRDefault="00913BE8" w:rsidP="001025DA">
            <w:pPr>
              <w:pStyle w:val="CDIFigure-Table-BodyTextCentre"/>
            </w:pPr>
            <w:r w:rsidRPr="00AE09DE">
              <w:t>0.88–1.17</w:t>
            </w:r>
          </w:p>
        </w:tc>
        <w:tc>
          <w:tcPr>
            <w:tcW w:w="737" w:type="dxa"/>
            <w:tcBorders>
              <w:left w:val="single" w:sz="4" w:space="0" w:color="033636" w:themeColor="text2"/>
            </w:tcBorders>
            <w:tcMar>
              <w:top w:w="96" w:type="dxa"/>
              <w:left w:w="113" w:type="dxa"/>
              <w:bottom w:w="96" w:type="dxa"/>
              <w:right w:w="113" w:type="dxa"/>
            </w:tcMar>
            <w:vAlign w:val="center"/>
          </w:tcPr>
          <w:p w14:paraId="308706CD" w14:textId="77777777" w:rsidR="00913BE8" w:rsidRPr="00AE09DE" w:rsidRDefault="00913BE8" w:rsidP="001025DA">
            <w:pPr>
              <w:pStyle w:val="CDIFigure-Table-BodyTextCentre"/>
            </w:pPr>
            <w:r w:rsidRPr="00AE09DE">
              <w:t>1.12</w:t>
            </w:r>
          </w:p>
        </w:tc>
        <w:tc>
          <w:tcPr>
            <w:tcW w:w="1020" w:type="dxa"/>
            <w:tcMar>
              <w:top w:w="96" w:type="dxa"/>
              <w:left w:w="113" w:type="dxa"/>
              <w:bottom w:w="96" w:type="dxa"/>
              <w:right w:w="113" w:type="dxa"/>
            </w:tcMar>
            <w:vAlign w:val="center"/>
          </w:tcPr>
          <w:p w14:paraId="471CA57D" w14:textId="77777777" w:rsidR="00913BE8" w:rsidRPr="00AE09DE" w:rsidRDefault="00913BE8" w:rsidP="001025DA">
            <w:pPr>
              <w:pStyle w:val="CDIFigure-Table-BodyTextCentre"/>
            </w:pPr>
            <w:r w:rsidRPr="00AE09DE">
              <w:t>0.98–1.28</w:t>
            </w:r>
          </w:p>
        </w:tc>
      </w:tr>
      <w:tr w:rsidR="00913BE8" w:rsidRPr="00AE09DE" w14:paraId="4BCF2AD8" w14:textId="77777777" w:rsidTr="00554FA2">
        <w:trPr>
          <w:divId w:val="935526654"/>
          <w:trHeight w:val="20"/>
        </w:trPr>
        <w:tc>
          <w:tcPr>
            <w:tcW w:w="1474" w:type="dxa"/>
            <w:shd w:val="clear" w:color="auto" w:fill="C5FFEF" w:themeFill="background2" w:themeFillTint="33"/>
          </w:tcPr>
          <w:p w14:paraId="3A9A86D4" w14:textId="77777777" w:rsidR="00913BE8" w:rsidRPr="00AE09DE" w:rsidRDefault="00913BE8" w:rsidP="00913BE8">
            <w:pPr>
              <w:pStyle w:val="CDIFigure-Table-BodyTextLeft"/>
              <w:keepNext/>
            </w:pPr>
          </w:p>
        </w:tc>
        <w:tc>
          <w:tcPr>
            <w:tcW w:w="2891" w:type="dxa"/>
            <w:tcMar>
              <w:top w:w="96" w:type="dxa"/>
              <w:left w:w="113" w:type="dxa"/>
              <w:bottom w:w="96" w:type="dxa"/>
              <w:right w:w="113" w:type="dxa"/>
            </w:tcMar>
            <w:vAlign w:val="center"/>
          </w:tcPr>
          <w:p w14:paraId="55335492" w14:textId="77777777" w:rsidR="00913BE8" w:rsidRPr="00AE09DE" w:rsidRDefault="00913BE8" w:rsidP="001025DA">
            <w:pPr>
              <w:pStyle w:val="CDIFigure-Table-BodyTextLeft"/>
            </w:pPr>
            <w:r w:rsidRPr="00AE09DE">
              <w:t>Meningococcal disease (invasive)</w:t>
            </w:r>
          </w:p>
        </w:tc>
        <w:tc>
          <w:tcPr>
            <w:tcW w:w="737" w:type="dxa"/>
            <w:tcMar>
              <w:top w:w="96" w:type="dxa"/>
              <w:left w:w="113" w:type="dxa"/>
              <w:bottom w:w="96" w:type="dxa"/>
              <w:right w:w="113" w:type="dxa"/>
            </w:tcMar>
            <w:vAlign w:val="center"/>
          </w:tcPr>
          <w:p w14:paraId="2D4051E9" w14:textId="77777777" w:rsidR="00913BE8" w:rsidRPr="00AE09DE" w:rsidRDefault="00913BE8" w:rsidP="001025DA">
            <w:pPr>
              <w:pStyle w:val="CDIFigure-Table-BodyTextCentre"/>
            </w:pPr>
            <w:r w:rsidRPr="00AE09DE">
              <w:t>0.81</w:t>
            </w:r>
          </w:p>
        </w:tc>
        <w:tc>
          <w:tcPr>
            <w:tcW w:w="794" w:type="dxa"/>
            <w:tcMar>
              <w:top w:w="96" w:type="dxa"/>
              <w:left w:w="113" w:type="dxa"/>
              <w:bottom w:w="96" w:type="dxa"/>
              <w:right w:w="113" w:type="dxa"/>
            </w:tcMar>
            <w:vAlign w:val="center"/>
          </w:tcPr>
          <w:p w14:paraId="17932E90" w14:textId="77777777" w:rsidR="00913BE8" w:rsidRPr="00AE09DE" w:rsidRDefault="00913BE8" w:rsidP="001025DA">
            <w:pPr>
              <w:pStyle w:val="CDIFigure-Table-BodyTextCentre"/>
            </w:pPr>
            <w:r w:rsidRPr="00AE09DE">
              <w:t>1.05</w:t>
            </w:r>
          </w:p>
        </w:tc>
        <w:tc>
          <w:tcPr>
            <w:tcW w:w="737" w:type="dxa"/>
            <w:tcMar>
              <w:top w:w="96" w:type="dxa"/>
              <w:left w:w="113" w:type="dxa"/>
              <w:bottom w:w="96" w:type="dxa"/>
              <w:right w:w="113" w:type="dxa"/>
            </w:tcMar>
            <w:vAlign w:val="center"/>
          </w:tcPr>
          <w:p w14:paraId="046E18C4" w14:textId="77777777" w:rsidR="00913BE8" w:rsidRPr="00AE09DE" w:rsidRDefault="00913BE8" w:rsidP="001025DA">
            <w:pPr>
              <w:pStyle w:val="CDIFigure-Table-BodyTextCentre"/>
            </w:pPr>
            <w:r w:rsidRPr="00AE09DE">
              <w:t>0.35</w:t>
            </w:r>
          </w:p>
        </w:tc>
        <w:tc>
          <w:tcPr>
            <w:tcW w:w="737" w:type="dxa"/>
            <w:tcBorders>
              <w:right w:val="single" w:sz="4" w:space="0" w:color="033636" w:themeColor="text2"/>
            </w:tcBorders>
            <w:tcMar>
              <w:top w:w="96" w:type="dxa"/>
              <w:left w:w="113" w:type="dxa"/>
              <w:bottom w:w="96" w:type="dxa"/>
              <w:right w:w="113" w:type="dxa"/>
            </w:tcMar>
            <w:vAlign w:val="center"/>
          </w:tcPr>
          <w:p w14:paraId="0EB8D180" w14:textId="77777777" w:rsidR="00913BE8" w:rsidRPr="00AE09DE" w:rsidRDefault="00913BE8" w:rsidP="001025DA">
            <w:pPr>
              <w:pStyle w:val="CDIFigure-Table-BodyTextCentre"/>
            </w:pPr>
            <w:r w:rsidRPr="00AE09DE">
              <w:t>0.29</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349DB1D" w14:textId="77777777" w:rsidR="00913BE8" w:rsidRPr="00AE09DE" w:rsidRDefault="00913BE8" w:rsidP="001025DA">
            <w:pPr>
              <w:pStyle w:val="CDIFigure-Table-BodyTextCentre"/>
            </w:pPr>
            <w:r w:rsidRPr="00AE09DE">
              <w:t>0.43</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367C98B" w14:textId="77777777" w:rsidR="00913BE8" w:rsidRPr="00AE09DE" w:rsidRDefault="00913BE8" w:rsidP="001025DA">
            <w:pPr>
              <w:pStyle w:val="CDIFigure-Table-BodyTextCentre"/>
            </w:pPr>
            <w:r w:rsidRPr="00AE09DE">
              <w:t>0.24–0.77</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5FABA373" w14:textId="77777777" w:rsidR="00913BE8" w:rsidRPr="00AE09DE" w:rsidRDefault="00913BE8" w:rsidP="001025DA">
            <w:pPr>
              <w:pStyle w:val="CDIFigure-Table-BodyTextCentre"/>
            </w:pPr>
            <w:r w:rsidRPr="00AE09DE">
              <w:t>0.35</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56AA5754" w14:textId="77777777" w:rsidR="00913BE8" w:rsidRPr="00AE09DE" w:rsidRDefault="00913BE8" w:rsidP="001025DA">
            <w:pPr>
              <w:pStyle w:val="CDIFigure-Table-BodyTextCentre"/>
            </w:pPr>
            <w:r w:rsidRPr="00AE09DE">
              <w:t>0.20–0.63</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5FE52893" w14:textId="77777777" w:rsidR="00913BE8" w:rsidRPr="00AE09DE" w:rsidRDefault="00913BE8" w:rsidP="001025DA">
            <w:pPr>
              <w:pStyle w:val="CDIFigure-Table-BodyTextCentre"/>
            </w:pPr>
            <w:r w:rsidRPr="00AE09DE">
              <w:t>0.33</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552814A" w14:textId="77777777" w:rsidR="00913BE8" w:rsidRPr="00AE09DE" w:rsidRDefault="00913BE8" w:rsidP="001025DA">
            <w:pPr>
              <w:pStyle w:val="CDIFigure-Table-BodyTextCentre"/>
            </w:pPr>
            <w:r w:rsidRPr="00AE09DE">
              <w:t>0.20–0.55</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7936F7AE" w14:textId="77777777" w:rsidR="00913BE8" w:rsidRPr="00AE09DE" w:rsidRDefault="00913BE8" w:rsidP="001025DA">
            <w:pPr>
              <w:pStyle w:val="CDIFigure-Table-BodyTextCentre"/>
            </w:pPr>
            <w:r w:rsidRPr="00AE09DE">
              <w:t>0.27</w:t>
            </w:r>
          </w:p>
        </w:tc>
        <w:tc>
          <w:tcPr>
            <w:tcW w:w="1020" w:type="dxa"/>
            <w:shd w:val="clear" w:color="auto" w:fill="93F9F9" w:themeFill="text2" w:themeFillTint="40"/>
            <w:tcMar>
              <w:top w:w="96" w:type="dxa"/>
              <w:left w:w="113" w:type="dxa"/>
              <w:bottom w:w="96" w:type="dxa"/>
              <w:right w:w="113" w:type="dxa"/>
            </w:tcMar>
            <w:vAlign w:val="center"/>
          </w:tcPr>
          <w:p w14:paraId="4CC8BB88" w14:textId="77777777" w:rsidR="00913BE8" w:rsidRPr="00AE09DE" w:rsidRDefault="00913BE8" w:rsidP="001025DA">
            <w:pPr>
              <w:pStyle w:val="CDIFigure-Table-BodyTextCentre"/>
            </w:pPr>
            <w:r w:rsidRPr="00AE09DE">
              <w:t>0.16–0.46</w:t>
            </w:r>
          </w:p>
        </w:tc>
      </w:tr>
      <w:tr w:rsidR="00913BE8" w:rsidRPr="00AE09DE" w14:paraId="1DD8596D" w14:textId="77777777" w:rsidTr="00554FA2">
        <w:trPr>
          <w:divId w:val="935526654"/>
          <w:trHeight w:val="20"/>
        </w:trPr>
        <w:tc>
          <w:tcPr>
            <w:tcW w:w="1474" w:type="dxa"/>
            <w:tcBorders>
              <w:bottom w:val="single" w:sz="4" w:space="0" w:color="033636" w:themeColor="text2"/>
            </w:tcBorders>
            <w:shd w:val="clear" w:color="auto" w:fill="C5FFEF" w:themeFill="background2" w:themeFillTint="33"/>
          </w:tcPr>
          <w:p w14:paraId="65AB8386" w14:textId="77777777" w:rsidR="00913BE8" w:rsidRPr="00AE09DE" w:rsidRDefault="00913BE8" w:rsidP="001025DA">
            <w:pPr>
              <w:pStyle w:val="CDIFigure-Table-BodyTextLeft"/>
            </w:pPr>
          </w:p>
        </w:tc>
        <w:tc>
          <w:tcPr>
            <w:tcW w:w="2891" w:type="dxa"/>
            <w:tcBorders>
              <w:bottom w:val="single" w:sz="4" w:space="0" w:color="033636" w:themeColor="text2"/>
            </w:tcBorders>
            <w:tcMar>
              <w:top w:w="96" w:type="dxa"/>
              <w:left w:w="113" w:type="dxa"/>
              <w:bottom w:w="96" w:type="dxa"/>
              <w:right w:w="113" w:type="dxa"/>
            </w:tcMar>
            <w:vAlign w:val="center"/>
          </w:tcPr>
          <w:p w14:paraId="7FE18A76" w14:textId="77777777" w:rsidR="00913BE8" w:rsidRPr="00AE09DE" w:rsidRDefault="00913BE8" w:rsidP="001025DA">
            <w:pPr>
              <w:pStyle w:val="CDIFigure-Table-BodyTextLeft"/>
            </w:pPr>
            <w:r w:rsidRPr="00AE09DE">
              <w:t>Tuberculosis</w:t>
            </w:r>
          </w:p>
        </w:tc>
        <w:tc>
          <w:tcPr>
            <w:tcW w:w="737" w:type="dxa"/>
            <w:tcBorders>
              <w:bottom w:val="single" w:sz="4" w:space="0" w:color="033636" w:themeColor="text2"/>
            </w:tcBorders>
            <w:tcMar>
              <w:top w:w="96" w:type="dxa"/>
              <w:left w:w="113" w:type="dxa"/>
              <w:bottom w:w="96" w:type="dxa"/>
              <w:right w:w="113" w:type="dxa"/>
            </w:tcMar>
            <w:vAlign w:val="center"/>
          </w:tcPr>
          <w:p w14:paraId="0A89C875" w14:textId="77777777" w:rsidR="00913BE8" w:rsidRPr="00AE09DE" w:rsidRDefault="00913BE8" w:rsidP="001025DA">
            <w:pPr>
              <w:pStyle w:val="CDIFigure-Table-BodyTextCentre"/>
            </w:pPr>
            <w:r w:rsidRPr="00AE09DE">
              <w:t>5.91</w:t>
            </w:r>
          </w:p>
        </w:tc>
        <w:tc>
          <w:tcPr>
            <w:tcW w:w="794" w:type="dxa"/>
            <w:tcBorders>
              <w:bottom w:val="single" w:sz="4" w:space="0" w:color="033636" w:themeColor="text2"/>
            </w:tcBorders>
            <w:tcMar>
              <w:top w:w="96" w:type="dxa"/>
              <w:left w:w="113" w:type="dxa"/>
              <w:bottom w:w="96" w:type="dxa"/>
              <w:right w:w="113" w:type="dxa"/>
            </w:tcMar>
            <w:vAlign w:val="center"/>
          </w:tcPr>
          <w:p w14:paraId="62DBE015" w14:textId="77777777" w:rsidR="00913BE8" w:rsidRPr="00AE09DE" w:rsidRDefault="00913BE8" w:rsidP="001025DA">
            <w:pPr>
              <w:pStyle w:val="CDIFigure-Table-BodyTextCentre"/>
            </w:pPr>
            <w:r w:rsidRPr="00AE09DE">
              <w:t>5.64</w:t>
            </w:r>
          </w:p>
        </w:tc>
        <w:tc>
          <w:tcPr>
            <w:tcW w:w="737" w:type="dxa"/>
            <w:tcBorders>
              <w:bottom w:val="single" w:sz="4" w:space="0" w:color="033636" w:themeColor="text2"/>
            </w:tcBorders>
            <w:tcMar>
              <w:top w:w="96" w:type="dxa"/>
              <w:left w:w="113" w:type="dxa"/>
              <w:bottom w:w="96" w:type="dxa"/>
              <w:right w:w="113" w:type="dxa"/>
            </w:tcMar>
            <w:vAlign w:val="center"/>
          </w:tcPr>
          <w:p w14:paraId="28306C95" w14:textId="77777777" w:rsidR="00913BE8" w:rsidRPr="00AE09DE" w:rsidRDefault="00913BE8" w:rsidP="001025DA">
            <w:pPr>
              <w:pStyle w:val="CDIFigure-Table-BodyTextCentre"/>
            </w:pPr>
            <w:r w:rsidRPr="00AE09DE">
              <w:t>6.28</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64C259A2" w14:textId="77777777" w:rsidR="00913BE8" w:rsidRPr="00AE09DE" w:rsidRDefault="00913BE8" w:rsidP="001025DA">
            <w:pPr>
              <w:pStyle w:val="CDIFigure-Table-BodyTextCentre"/>
            </w:pPr>
            <w:r w:rsidRPr="00AE09DE">
              <w:t>5.64</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0EF57CF6" w14:textId="77777777" w:rsidR="00913BE8" w:rsidRPr="00AE09DE" w:rsidRDefault="00913BE8" w:rsidP="001025DA">
            <w:pPr>
              <w:pStyle w:val="CDIFigure-Table-BodyTextCentre"/>
            </w:pPr>
            <w:r w:rsidRPr="00AE09DE">
              <w:t>1.06</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7AC7AC6D" w14:textId="77777777" w:rsidR="00913BE8" w:rsidRPr="00AE09DE" w:rsidRDefault="00913BE8" w:rsidP="001025DA">
            <w:pPr>
              <w:pStyle w:val="CDIFigure-Table-BodyTextCentre"/>
            </w:pPr>
            <w:r w:rsidRPr="00AE09DE">
              <w:t>0.98–1.15</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592EC13D" w14:textId="77777777" w:rsidR="00913BE8" w:rsidRPr="00AE09DE" w:rsidRDefault="00913BE8" w:rsidP="001025DA">
            <w:pPr>
              <w:pStyle w:val="CDIFigure-Table-BodyTextCentre"/>
            </w:pPr>
            <w:r w:rsidRPr="00AE09DE">
              <w:t>0.95</w:t>
            </w:r>
          </w:p>
        </w:tc>
        <w:tc>
          <w:tcPr>
            <w:tcW w:w="1020"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71B833DF" w14:textId="77777777" w:rsidR="00913BE8" w:rsidRPr="00AE09DE" w:rsidRDefault="00913BE8" w:rsidP="001025DA">
            <w:pPr>
              <w:pStyle w:val="CDIFigure-Table-BodyTextCentre"/>
            </w:pPr>
            <w:r w:rsidRPr="00AE09DE">
              <w:t>0.88–1.03</w:t>
            </w:r>
          </w:p>
        </w:tc>
        <w:tc>
          <w:tcPr>
            <w:tcW w:w="737" w:type="dxa"/>
            <w:tcBorders>
              <w:left w:val="single" w:sz="4" w:space="0" w:color="033636" w:themeColor="text2"/>
              <w:bottom w:val="single" w:sz="4" w:space="0" w:color="033636" w:themeColor="text2"/>
            </w:tcBorders>
            <w:shd w:val="clear" w:color="auto" w:fill="FFDBC0" w:themeFill="accent4" w:themeFillTint="33"/>
            <w:tcMar>
              <w:top w:w="96" w:type="dxa"/>
              <w:left w:w="113" w:type="dxa"/>
              <w:bottom w:w="96" w:type="dxa"/>
              <w:right w:w="113" w:type="dxa"/>
            </w:tcMar>
            <w:vAlign w:val="center"/>
          </w:tcPr>
          <w:p w14:paraId="42AAF5BC" w14:textId="77777777" w:rsidR="00913BE8" w:rsidRPr="00AE09DE" w:rsidRDefault="00913BE8" w:rsidP="001025DA">
            <w:pPr>
              <w:pStyle w:val="CDIFigure-Table-BodyTextCentre"/>
            </w:pPr>
            <w:r w:rsidRPr="00AE09DE">
              <w:t>1.11</w:t>
            </w:r>
          </w:p>
        </w:tc>
        <w:tc>
          <w:tcPr>
            <w:tcW w:w="1021" w:type="dxa"/>
            <w:tcBorders>
              <w:bottom w:val="single" w:sz="4" w:space="0" w:color="033636" w:themeColor="text2"/>
              <w:right w:val="single" w:sz="4" w:space="0" w:color="033636" w:themeColor="text2"/>
            </w:tcBorders>
            <w:shd w:val="clear" w:color="auto" w:fill="FFDBC0" w:themeFill="accent4" w:themeFillTint="33"/>
            <w:tcMar>
              <w:top w:w="96" w:type="dxa"/>
              <w:left w:w="113" w:type="dxa"/>
              <w:bottom w:w="96" w:type="dxa"/>
              <w:right w:w="113" w:type="dxa"/>
            </w:tcMar>
            <w:vAlign w:val="center"/>
          </w:tcPr>
          <w:p w14:paraId="33A213BA" w14:textId="77777777" w:rsidR="00913BE8" w:rsidRPr="00AE09DE" w:rsidRDefault="00913BE8" w:rsidP="001025DA">
            <w:pPr>
              <w:pStyle w:val="CDIFigure-Table-BodyTextCentre"/>
            </w:pPr>
            <w:r w:rsidRPr="00AE09DE">
              <w:t>1.03–1.20</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6BDB85A8" w14:textId="77777777" w:rsidR="00913BE8" w:rsidRPr="00AE09DE" w:rsidRDefault="00913BE8" w:rsidP="001025DA">
            <w:pPr>
              <w:pStyle w:val="CDIFigure-Table-BodyTextCentre"/>
            </w:pPr>
            <w:r w:rsidRPr="00AE09DE">
              <w:t>1.00</w:t>
            </w:r>
          </w:p>
        </w:tc>
        <w:tc>
          <w:tcPr>
            <w:tcW w:w="1020" w:type="dxa"/>
            <w:tcBorders>
              <w:bottom w:val="single" w:sz="4" w:space="0" w:color="033636" w:themeColor="text2"/>
            </w:tcBorders>
            <w:tcMar>
              <w:top w:w="96" w:type="dxa"/>
              <w:left w:w="113" w:type="dxa"/>
              <w:bottom w:w="96" w:type="dxa"/>
              <w:right w:w="113" w:type="dxa"/>
            </w:tcMar>
            <w:vAlign w:val="center"/>
          </w:tcPr>
          <w:p w14:paraId="5FA37BFC" w14:textId="77777777" w:rsidR="00913BE8" w:rsidRPr="00AE09DE" w:rsidRDefault="00913BE8" w:rsidP="001025DA">
            <w:pPr>
              <w:pStyle w:val="CDIFigure-Table-BodyTextCentre"/>
            </w:pPr>
            <w:r w:rsidRPr="00AE09DE">
              <w:t>0.93–1.08</w:t>
            </w:r>
          </w:p>
        </w:tc>
      </w:tr>
      <w:tr w:rsidR="008659EE" w:rsidRPr="00AE09DE" w14:paraId="70540179"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0FEB6D23" w14:textId="77777777" w:rsidR="00AE09DE" w:rsidRPr="00AE09DE" w:rsidRDefault="00AE09DE" w:rsidP="001025DA">
            <w:pPr>
              <w:pStyle w:val="CDIFigure-Table-BodyTextLeft"/>
            </w:pPr>
            <w:r w:rsidRPr="00AE09DE">
              <w:t>Sexually transmissible infections</w:t>
            </w:r>
          </w:p>
        </w:tc>
        <w:tc>
          <w:tcPr>
            <w:tcW w:w="2891" w:type="dxa"/>
            <w:tcBorders>
              <w:top w:val="single" w:sz="4" w:space="0" w:color="033636" w:themeColor="text2"/>
            </w:tcBorders>
            <w:tcMar>
              <w:top w:w="96" w:type="dxa"/>
              <w:left w:w="113" w:type="dxa"/>
              <w:bottom w:w="96" w:type="dxa"/>
              <w:right w:w="113" w:type="dxa"/>
            </w:tcMar>
            <w:vAlign w:val="center"/>
          </w:tcPr>
          <w:p w14:paraId="55C69694" w14:textId="77777777" w:rsidR="00AE09DE" w:rsidRPr="00AE09DE" w:rsidRDefault="00AE09DE" w:rsidP="001025DA">
            <w:pPr>
              <w:pStyle w:val="CDIFigure-Table-BodyTextLeft"/>
            </w:pPr>
            <w:r w:rsidRPr="00AE09DE">
              <w:t>Chlamydial infection</w:t>
            </w:r>
          </w:p>
        </w:tc>
        <w:tc>
          <w:tcPr>
            <w:tcW w:w="737" w:type="dxa"/>
            <w:tcBorders>
              <w:top w:val="single" w:sz="4" w:space="0" w:color="033636" w:themeColor="text2"/>
            </w:tcBorders>
            <w:tcMar>
              <w:top w:w="96" w:type="dxa"/>
              <w:left w:w="113" w:type="dxa"/>
              <w:bottom w:w="96" w:type="dxa"/>
              <w:right w:w="113" w:type="dxa"/>
            </w:tcMar>
            <w:vAlign w:val="center"/>
          </w:tcPr>
          <w:p w14:paraId="3E8B94D1" w14:textId="77777777" w:rsidR="00AE09DE" w:rsidRPr="00AE09DE" w:rsidRDefault="00AE09DE" w:rsidP="001025DA">
            <w:pPr>
              <w:pStyle w:val="CDIFigure-Table-BodyTextCentre"/>
            </w:pPr>
            <w:r w:rsidRPr="00AE09DE">
              <w:t>419</w:t>
            </w:r>
          </w:p>
        </w:tc>
        <w:tc>
          <w:tcPr>
            <w:tcW w:w="794" w:type="dxa"/>
            <w:tcBorders>
              <w:top w:val="single" w:sz="4" w:space="0" w:color="033636" w:themeColor="text2"/>
            </w:tcBorders>
            <w:tcMar>
              <w:top w:w="96" w:type="dxa"/>
              <w:left w:w="113" w:type="dxa"/>
              <w:bottom w:w="96" w:type="dxa"/>
              <w:right w:w="113" w:type="dxa"/>
            </w:tcMar>
            <w:vAlign w:val="center"/>
          </w:tcPr>
          <w:p w14:paraId="0BD8E2BB" w14:textId="77777777" w:rsidR="00AE09DE" w:rsidRPr="00AE09DE" w:rsidRDefault="00AE09DE" w:rsidP="001025DA">
            <w:pPr>
              <w:pStyle w:val="CDIFigure-Table-BodyTextCentre"/>
            </w:pPr>
            <w:r w:rsidRPr="00AE09DE">
              <w:t>398</w:t>
            </w:r>
          </w:p>
        </w:tc>
        <w:tc>
          <w:tcPr>
            <w:tcW w:w="737" w:type="dxa"/>
            <w:tcBorders>
              <w:top w:val="single" w:sz="4" w:space="0" w:color="033636" w:themeColor="text2"/>
            </w:tcBorders>
            <w:tcMar>
              <w:top w:w="96" w:type="dxa"/>
              <w:left w:w="113" w:type="dxa"/>
              <w:bottom w:w="96" w:type="dxa"/>
              <w:right w:w="113" w:type="dxa"/>
            </w:tcMar>
            <w:vAlign w:val="center"/>
          </w:tcPr>
          <w:p w14:paraId="1A7EDA61" w14:textId="77777777" w:rsidR="00AE09DE" w:rsidRPr="00AE09DE" w:rsidRDefault="00AE09DE" w:rsidP="001025DA">
            <w:pPr>
              <w:pStyle w:val="CDIFigure-Table-BodyTextCentre"/>
            </w:pPr>
            <w:r w:rsidRPr="00AE09DE">
              <w:t>355</w:t>
            </w:r>
          </w:p>
        </w:tc>
        <w:tc>
          <w:tcPr>
            <w:tcW w:w="737" w:type="dxa"/>
            <w:tcBorders>
              <w:top w:val="single" w:sz="4" w:space="0" w:color="033636" w:themeColor="text2"/>
              <w:right w:val="single" w:sz="4" w:space="0" w:color="033636" w:themeColor="text2"/>
            </w:tcBorders>
            <w:tcMar>
              <w:top w:w="96" w:type="dxa"/>
              <w:left w:w="113" w:type="dxa"/>
              <w:bottom w:w="96" w:type="dxa"/>
              <w:right w:w="113" w:type="dxa"/>
            </w:tcMar>
            <w:vAlign w:val="center"/>
          </w:tcPr>
          <w:p w14:paraId="0F8C88CB" w14:textId="77777777" w:rsidR="00AE09DE" w:rsidRPr="00AE09DE" w:rsidRDefault="00AE09DE" w:rsidP="001025DA">
            <w:pPr>
              <w:pStyle w:val="CDIFigure-Table-BodyTextCentre"/>
            </w:pPr>
            <w:r w:rsidRPr="00AE09DE">
              <w:t>334</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1D688726" w14:textId="77777777" w:rsidR="00AE09DE" w:rsidRPr="00AE09DE" w:rsidRDefault="00AE09DE" w:rsidP="001025DA">
            <w:pPr>
              <w:pStyle w:val="CDIFigure-Table-BodyTextCentre"/>
            </w:pPr>
            <w:r w:rsidRPr="00AE09DE">
              <w:t>0.85</w:t>
            </w:r>
          </w:p>
        </w:tc>
        <w:tc>
          <w:tcPr>
            <w:tcW w:w="1021" w:type="dxa"/>
            <w:tcBorders>
              <w:top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4E158782" w14:textId="77777777" w:rsidR="00AE09DE" w:rsidRPr="00AE09DE" w:rsidRDefault="00AE09DE" w:rsidP="001025DA">
            <w:pPr>
              <w:pStyle w:val="CDIFigure-Table-BodyTextCentre"/>
            </w:pPr>
            <w:r w:rsidRPr="00AE09DE">
              <w:t>0.75–0.95</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2AFC63BD" w14:textId="77777777" w:rsidR="00AE09DE" w:rsidRPr="00AE09DE" w:rsidRDefault="00AE09DE" w:rsidP="001025DA">
            <w:pPr>
              <w:pStyle w:val="CDIFigure-Table-BodyTextCentre"/>
            </w:pPr>
            <w:r w:rsidRPr="00AE09DE">
              <w:t>0.80</w:t>
            </w:r>
          </w:p>
        </w:tc>
        <w:tc>
          <w:tcPr>
            <w:tcW w:w="1020" w:type="dxa"/>
            <w:tcBorders>
              <w:top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2F8B1783" w14:textId="77777777" w:rsidR="00AE09DE" w:rsidRPr="00AE09DE" w:rsidRDefault="00AE09DE" w:rsidP="001025DA">
            <w:pPr>
              <w:pStyle w:val="CDIFigure-Table-BodyTextCentre"/>
            </w:pPr>
            <w:r w:rsidRPr="00AE09DE">
              <w:t>0.71–0.89</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0611CBDE" w14:textId="77777777" w:rsidR="00AE09DE" w:rsidRPr="00AE09DE" w:rsidRDefault="00AE09DE" w:rsidP="001025DA">
            <w:pPr>
              <w:pStyle w:val="CDIFigure-Table-BodyTextCentre"/>
            </w:pPr>
            <w:r w:rsidRPr="00AE09DE">
              <w:t>0.89</w:t>
            </w:r>
          </w:p>
        </w:tc>
        <w:tc>
          <w:tcPr>
            <w:tcW w:w="1021" w:type="dxa"/>
            <w:tcBorders>
              <w:top w:val="single" w:sz="4" w:space="0" w:color="033636" w:themeColor="text2"/>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3C6BDDD" w14:textId="77777777" w:rsidR="00AE09DE" w:rsidRPr="00AE09DE" w:rsidRDefault="00AE09DE" w:rsidP="001025DA">
            <w:pPr>
              <w:pStyle w:val="CDIFigure-Table-BodyTextCentre"/>
            </w:pPr>
            <w:r w:rsidRPr="00AE09DE">
              <w:t>0.81–0.99</w:t>
            </w:r>
          </w:p>
        </w:tc>
        <w:tc>
          <w:tcPr>
            <w:tcW w:w="737" w:type="dxa"/>
            <w:tcBorders>
              <w:top w:val="single" w:sz="4" w:space="0" w:color="033636" w:themeColor="text2"/>
              <w:left w:val="single" w:sz="4" w:space="0" w:color="033636" w:themeColor="text2"/>
            </w:tcBorders>
            <w:shd w:val="clear" w:color="auto" w:fill="93F9F9" w:themeFill="text2" w:themeFillTint="40"/>
            <w:tcMar>
              <w:top w:w="96" w:type="dxa"/>
              <w:left w:w="113" w:type="dxa"/>
              <w:bottom w:w="96" w:type="dxa"/>
              <w:right w:w="113" w:type="dxa"/>
            </w:tcMar>
            <w:vAlign w:val="center"/>
          </w:tcPr>
          <w:p w14:paraId="2A6ECCA9" w14:textId="77777777" w:rsidR="00AE09DE" w:rsidRPr="00AE09DE" w:rsidRDefault="00AE09DE" w:rsidP="001025DA">
            <w:pPr>
              <w:pStyle w:val="CDIFigure-Table-BodyTextCentre"/>
            </w:pPr>
            <w:r w:rsidRPr="00AE09DE">
              <w:t>0.84</w:t>
            </w:r>
          </w:p>
        </w:tc>
        <w:tc>
          <w:tcPr>
            <w:tcW w:w="1020" w:type="dxa"/>
            <w:tcBorders>
              <w:top w:val="single" w:sz="4" w:space="0" w:color="033636" w:themeColor="text2"/>
            </w:tcBorders>
            <w:shd w:val="clear" w:color="auto" w:fill="93F9F9" w:themeFill="text2" w:themeFillTint="40"/>
            <w:tcMar>
              <w:top w:w="96" w:type="dxa"/>
              <w:left w:w="113" w:type="dxa"/>
              <w:bottom w:w="96" w:type="dxa"/>
              <w:right w:w="113" w:type="dxa"/>
            </w:tcMar>
            <w:vAlign w:val="center"/>
          </w:tcPr>
          <w:p w14:paraId="77AE2F28" w14:textId="77777777" w:rsidR="00AE09DE" w:rsidRPr="00AE09DE" w:rsidRDefault="00AE09DE" w:rsidP="001025DA">
            <w:pPr>
              <w:pStyle w:val="CDIFigure-Table-BodyTextCentre"/>
            </w:pPr>
            <w:r w:rsidRPr="00AE09DE">
              <w:t>0.76–0.93</w:t>
            </w:r>
          </w:p>
        </w:tc>
      </w:tr>
      <w:tr w:rsidR="00554FA2" w:rsidRPr="00AE09DE" w14:paraId="0EB6807B"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1C9672E" w14:textId="77777777" w:rsidR="00AE09DE" w:rsidRPr="00AE09DE" w:rsidRDefault="00AE09DE" w:rsidP="00AE09DE"/>
        </w:tc>
        <w:tc>
          <w:tcPr>
            <w:tcW w:w="2891" w:type="dxa"/>
            <w:tcMar>
              <w:top w:w="96" w:type="dxa"/>
              <w:left w:w="113" w:type="dxa"/>
              <w:bottom w:w="96" w:type="dxa"/>
              <w:right w:w="113" w:type="dxa"/>
            </w:tcMar>
            <w:vAlign w:val="center"/>
          </w:tcPr>
          <w:p w14:paraId="06884308" w14:textId="77777777" w:rsidR="00AE09DE" w:rsidRPr="00AE09DE" w:rsidRDefault="00AE09DE" w:rsidP="001025DA">
            <w:pPr>
              <w:pStyle w:val="CDIFigure-Table-BodyTextLeft"/>
            </w:pPr>
            <w:r w:rsidRPr="00AE09DE">
              <w:t>Gonococcal infection</w:t>
            </w:r>
          </w:p>
        </w:tc>
        <w:tc>
          <w:tcPr>
            <w:tcW w:w="737" w:type="dxa"/>
            <w:tcMar>
              <w:top w:w="96" w:type="dxa"/>
              <w:left w:w="113" w:type="dxa"/>
              <w:bottom w:w="96" w:type="dxa"/>
              <w:right w:w="113" w:type="dxa"/>
            </w:tcMar>
            <w:vAlign w:val="center"/>
          </w:tcPr>
          <w:p w14:paraId="34802BED" w14:textId="77777777" w:rsidR="00AE09DE" w:rsidRPr="00AE09DE" w:rsidRDefault="00AE09DE" w:rsidP="001025DA">
            <w:pPr>
              <w:pStyle w:val="CDIFigure-Table-BodyTextCentre"/>
            </w:pPr>
            <w:r w:rsidRPr="00AE09DE">
              <w:t>136</w:t>
            </w:r>
          </w:p>
        </w:tc>
        <w:tc>
          <w:tcPr>
            <w:tcW w:w="794" w:type="dxa"/>
            <w:tcMar>
              <w:top w:w="96" w:type="dxa"/>
              <w:left w:w="113" w:type="dxa"/>
              <w:bottom w:w="96" w:type="dxa"/>
              <w:right w:w="113" w:type="dxa"/>
            </w:tcMar>
            <w:vAlign w:val="center"/>
          </w:tcPr>
          <w:p w14:paraId="3421E868" w14:textId="77777777" w:rsidR="00AE09DE" w:rsidRPr="00AE09DE" w:rsidRDefault="00AE09DE" w:rsidP="001025DA">
            <w:pPr>
              <w:pStyle w:val="CDIFigure-Table-BodyTextCentre"/>
            </w:pPr>
            <w:r w:rsidRPr="00AE09DE">
              <w:t>110</w:t>
            </w:r>
          </w:p>
        </w:tc>
        <w:tc>
          <w:tcPr>
            <w:tcW w:w="737" w:type="dxa"/>
            <w:tcMar>
              <w:top w:w="96" w:type="dxa"/>
              <w:left w:w="113" w:type="dxa"/>
              <w:bottom w:w="96" w:type="dxa"/>
              <w:right w:w="113" w:type="dxa"/>
            </w:tcMar>
            <w:vAlign w:val="center"/>
          </w:tcPr>
          <w:p w14:paraId="13DDB84C" w14:textId="77777777" w:rsidR="00AE09DE" w:rsidRPr="00AE09DE" w:rsidRDefault="00AE09DE" w:rsidP="001025DA">
            <w:pPr>
              <w:pStyle w:val="CDIFigure-Table-BodyTextCentre"/>
            </w:pPr>
            <w:r w:rsidRPr="00AE09DE">
              <w:t>116</w:t>
            </w:r>
          </w:p>
        </w:tc>
        <w:tc>
          <w:tcPr>
            <w:tcW w:w="737" w:type="dxa"/>
            <w:tcBorders>
              <w:right w:val="single" w:sz="4" w:space="0" w:color="033636" w:themeColor="text2"/>
            </w:tcBorders>
            <w:tcMar>
              <w:top w:w="96" w:type="dxa"/>
              <w:left w:w="113" w:type="dxa"/>
              <w:bottom w:w="96" w:type="dxa"/>
              <w:right w:w="113" w:type="dxa"/>
            </w:tcMar>
            <w:vAlign w:val="center"/>
          </w:tcPr>
          <w:p w14:paraId="3BF3FF45" w14:textId="77777777" w:rsidR="00AE09DE" w:rsidRPr="00AE09DE" w:rsidRDefault="00AE09DE" w:rsidP="001025DA">
            <w:pPr>
              <w:pStyle w:val="CDIFigure-Table-BodyTextCentre"/>
            </w:pPr>
            <w:r w:rsidRPr="00AE09DE">
              <w:t>104</w:t>
            </w:r>
          </w:p>
        </w:tc>
        <w:tc>
          <w:tcPr>
            <w:tcW w:w="737" w:type="dxa"/>
            <w:tcBorders>
              <w:left w:val="single" w:sz="4" w:space="0" w:color="033636" w:themeColor="text2"/>
            </w:tcBorders>
            <w:tcMar>
              <w:top w:w="96" w:type="dxa"/>
              <w:left w:w="113" w:type="dxa"/>
              <w:bottom w:w="96" w:type="dxa"/>
              <w:right w:w="113" w:type="dxa"/>
            </w:tcMar>
            <w:vAlign w:val="center"/>
          </w:tcPr>
          <w:p w14:paraId="1A94D4BB" w14:textId="77777777" w:rsidR="00AE09DE" w:rsidRPr="00AE09DE" w:rsidRDefault="00AE09DE" w:rsidP="001025DA">
            <w:pPr>
              <w:pStyle w:val="CDIFigure-Table-BodyTextCentre"/>
            </w:pPr>
            <w:r w:rsidRPr="00AE09DE">
              <w:t>0.85</w:t>
            </w:r>
          </w:p>
        </w:tc>
        <w:tc>
          <w:tcPr>
            <w:tcW w:w="1021" w:type="dxa"/>
            <w:tcBorders>
              <w:right w:val="single" w:sz="4" w:space="0" w:color="033636" w:themeColor="text2"/>
            </w:tcBorders>
            <w:tcMar>
              <w:top w:w="96" w:type="dxa"/>
              <w:left w:w="113" w:type="dxa"/>
              <w:bottom w:w="96" w:type="dxa"/>
              <w:right w:w="113" w:type="dxa"/>
            </w:tcMar>
            <w:vAlign w:val="center"/>
          </w:tcPr>
          <w:p w14:paraId="5AB1DB87" w14:textId="77777777" w:rsidR="00AE09DE" w:rsidRPr="00AE09DE" w:rsidRDefault="00AE09DE" w:rsidP="001025DA">
            <w:pPr>
              <w:pStyle w:val="CDIFigure-Table-BodyTextCentre"/>
            </w:pPr>
            <w:r w:rsidRPr="00AE09DE">
              <w:t>0.59–1.23</w:t>
            </w:r>
          </w:p>
        </w:tc>
        <w:tc>
          <w:tcPr>
            <w:tcW w:w="737" w:type="dxa"/>
            <w:tcBorders>
              <w:left w:val="single" w:sz="4" w:space="0" w:color="033636" w:themeColor="text2"/>
            </w:tcBorders>
            <w:tcMar>
              <w:top w:w="96" w:type="dxa"/>
              <w:left w:w="113" w:type="dxa"/>
              <w:bottom w:w="96" w:type="dxa"/>
              <w:right w:w="113" w:type="dxa"/>
            </w:tcMar>
            <w:vAlign w:val="center"/>
          </w:tcPr>
          <w:p w14:paraId="743FC2D3" w14:textId="77777777" w:rsidR="00AE09DE" w:rsidRPr="00AE09DE" w:rsidRDefault="00AE09DE" w:rsidP="001025DA">
            <w:pPr>
              <w:pStyle w:val="CDIFigure-Table-BodyTextCentre"/>
            </w:pPr>
            <w:r w:rsidRPr="00AE09DE">
              <w:t>0.77</w:t>
            </w:r>
          </w:p>
        </w:tc>
        <w:tc>
          <w:tcPr>
            <w:tcW w:w="1020" w:type="dxa"/>
            <w:tcBorders>
              <w:right w:val="single" w:sz="4" w:space="0" w:color="033636" w:themeColor="text2"/>
            </w:tcBorders>
            <w:tcMar>
              <w:top w:w="96" w:type="dxa"/>
              <w:left w:w="113" w:type="dxa"/>
              <w:bottom w:w="96" w:type="dxa"/>
              <w:right w:w="113" w:type="dxa"/>
            </w:tcMar>
            <w:vAlign w:val="center"/>
          </w:tcPr>
          <w:p w14:paraId="4D22115D" w14:textId="77777777" w:rsidR="00AE09DE" w:rsidRPr="00AE09DE" w:rsidRDefault="00AE09DE" w:rsidP="001025DA">
            <w:pPr>
              <w:pStyle w:val="CDIFigure-Table-BodyTextCentre"/>
            </w:pPr>
            <w:r w:rsidRPr="00AE09DE">
              <w:t>0.53–1.11</w:t>
            </w:r>
          </w:p>
        </w:tc>
        <w:tc>
          <w:tcPr>
            <w:tcW w:w="737" w:type="dxa"/>
            <w:tcBorders>
              <w:left w:val="single" w:sz="4" w:space="0" w:color="033636" w:themeColor="text2"/>
            </w:tcBorders>
            <w:tcMar>
              <w:top w:w="96" w:type="dxa"/>
              <w:left w:w="113" w:type="dxa"/>
              <w:bottom w:w="96" w:type="dxa"/>
              <w:right w:w="113" w:type="dxa"/>
            </w:tcMar>
            <w:vAlign w:val="center"/>
          </w:tcPr>
          <w:p w14:paraId="2F00E83D" w14:textId="77777777" w:rsidR="00AE09DE" w:rsidRPr="00AE09DE" w:rsidRDefault="00AE09DE" w:rsidP="001025DA">
            <w:pPr>
              <w:pStyle w:val="CDIFigure-Table-BodyTextCentre"/>
            </w:pPr>
            <w:r w:rsidRPr="00AE09DE">
              <w:t>1.06</w:t>
            </w:r>
          </w:p>
        </w:tc>
        <w:tc>
          <w:tcPr>
            <w:tcW w:w="1021" w:type="dxa"/>
            <w:tcBorders>
              <w:right w:val="single" w:sz="4" w:space="0" w:color="033636" w:themeColor="text2"/>
            </w:tcBorders>
            <w:tcMar>
              <w:top w:w="96" w:type="dxa"/>
              <w:left w:w="113" w:type="dxa"/>
              <w:bottom w:w="96" w:type="dxa"/>
              <w:right w:w="113" w:type="dxa"/>
            </w:tcMar>
            <w:vAlign w:val="center"/>
          </w:tcPr>
          <w:p w14:paraId="50DA42A0" w14:textId="77777777" w:rsidR="00AE09DE" w:rsidRPr="00AE09DE" w:rsidRDefault="00AE09DE" w:rsidP="001025DA">
            <w:pPr>
              <w:pStyle w:val="CDIFigure-Table-BodyTextCentre"/>
            </w:pPr>
            <w:r w:rsidRPr="00AE09DE">
              <w:t>0.75–1.51</w:t>
            </w:r>
          </w:p>
        </w:tc>
        <w:tc>
          <w:tcPr>
            <w:tcW w:w="737" w:type="dxa"/>
            <w:tcBorders>
              <w:left w:val="single" w:sz="4" w:space="0" w:color="033636" w:themeColor="text2"/>
            </w:tcBorders>
            <w:tcMar>
              <w:top w:w="96" w:type="dxa"/>
              <w:left w:w="113" w:type="dxa"/>
              <w:bottom w:w="96" w:type="dxa"/>
              <w:right w:w="113" w:type="dxa"/>
            </w:tcMar>
            <w:vAlign w:val="center"/>
          </w:tcPr>
          <w:p w14:paraId="603AE57D" w14:textId="77777777" w:rsidR="00AE09DE" w:rsidRPr="00AE09DE" w:rsidRDefault="00AE09DE" w:rsidP="001025DA">
            <w:pPr>
              <w:pStyle w:val="CDIFigure-Table-BodyTextCentre"/>
            </w:pPr>
            <w:r w:rsidRPr="00AE09DE">
              <w:t>0.95</w:t>
            </w:r>
          </w:p>
        </w:tc>
        <w:tc>
          <w:tcPr>
            <w:tcW w:w="1020" w:type="dxa"/>
            <w:tcMar>
              <w:top w:w="96" w:type="dxa"/>
              <w:left w:w="113" w:type="dxa"/>
              <w:bottom w:w="96" w:type="dxa"/>
              <w:right w:w="113" w:type="dxa"/>
            </w:tcMar>
            <w:vAlign w:val="center"/>
          </w:tcPr>
          <w:p w14:paraId="4E82E5CB" w14:textId="77777777" w:rsidR="00AE09DE" w:rsidRPr="00AE09DE" w:rsidRDefault="00AE09DE" w:rsidP="001025DA">
            <w:pPr>
              <w:pStyle w:val="CDIFigure-Table-BodyTextCentre"/>
            </w:pPr>
            <w:r w:rsidRPr="00AE09DE">
              <w:t>0.67–1.35</w:t>
            </w:r>
          </w:p>
        </w:tc>
      </w:tr>
      <w:tr w:rsidR="00554FA2" w:rsidRPr="00AE09DE" w14:paraId="525FB824"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0A6B9919" w14:textId="77777777" w:rsidR="00AE09DE" w:rsidRPr="00AE09DE" w:rsidRDefault="00AE09DE" w:rsidP="00AE09DE"/>
        </w:tc>
        <w:tc>
          <w:tcPr>
            <w:tcW w:w="2891" w:type="dxa"/>
            <w:tcMar>
              <w:top w:w="96" w:type="dxa"/>
              <w:left w:w="113" w:type="dxa"/>
              <w:bottom w:w="96" w:type="dxa"/>
              <w:right w:w="113" w:type="dxa"/>
            </w:tcMar>
            <w:vAlign w:val="center"/>
          </w:tcPr>
          <w:p w14:paraId="5CDD0037" w14:textId="77777777" w:rsidR="00AE09DE" w:rsidRPr="00AE09DE" w:rsidRDefault="00AE09DE" w:rsidP="001025DA">
            <w:pPr>
              <w:pStyle w:val="CDIFigure-Table-BodyTextLeft"/>
            </w:pPr>
            <w:r w:rsidRPr="00AE09DE">
              <w:t>Syphilis &lt; 2 years</w:t>
            </w:r>
          </w:p>
        </w:tc>
        <w:tc>
          <w:tcPr>
            <w:tcW w:w="737" w:type="dxa"/>
            <w:tcMar>
              <w:top w:w="96" w:type="dxa"/>
              <w:left w:w="113" w:type="dxa"/>
              <w:bottom w:w="96" w:type="dxa"/>
              <w:right w:w="113" w:type="dxa"/>
            </w:tcMar>
            <w:vAlign w:val="center"/>
          </w:tcPr>
          <w:p w14:paraId="255E174C" w14:textId="77777777" w:rsidR="00AE09DE" w:rsidRPr="00AE09DE" w:rsidRDefault="00AE09DE" w:rsidP="001025DA">
            <w:pPr>
              <w:pStyle w:val="CDIFigure-Table-BodyTextCentre"/>
            </w:pPr>
            <w:r w:rsidRPr="00AE09DE">
              <w:t>23</w:t>
            </w:r>
          </w:p>
        </w:tc>
        <w:tc>
          <w:tcPr>
            <w:tcW w:w="794" w:type="dxa"/>
            <w:tcMar>
              <w:top w:w="96" w:type="dxa"/>
              <w:left w:w="113" w:type="dxa"/>
              <w:bottom w:w="96" w:type="dxa"/>
              <w:right w:w="113" w:type="dxa"/>
            </w:tcMar>
            <w:vAlign w:val="center"/>
          </w:tcPr>
          <w:p w14:paraId="25B085DE" w14:textId="77777777" w:rsidR="00AE09DE" w:rsidRPr="00AE09DE" w:rsidRDefault="00AE09DE" w:rsidP="001025DA">
            <w:pPr>
              <w:pStyle w:val="CDIFigure-Table-BodyTextCentre"/>
            </w:pPr>
            <w:r w:rsidRPr="00AE09DE">
              <w:t>17</w:t>
            </w:r>
          </w:p>
        </w:tc>
        <w:tc>
          <w:tcPr>
            <w:tcW w:w="737" w:type="dxa"/>
            <w:tcMar>
              <w:top w:w="96" w:type="dxa"/>
              <w:left w:w="113" w:type="dxa"/>
              <w:bottom w:w="96" w:type="dxa"/>
              <w:right w:w="113" w:type="dxa"/>
            </w:tcMar>
            <w:vAlign w:val="center"/>
          </w:tcPr>
          <w:p w14:paraId="000C6587" w14:textId="77777777" w:rsidR="00AE09DE" w:rsidRPr="00AE09DE" w:rsidRDefault="00AE09DE" w:rsidP="001025DA">
            <w:pPr>
              <w:pStyle w:val="CDIFigure-Table-BodyTextCentre"/>
            </w:pPr>
            <w:r w:rsidRPr="00AE09DE">
              <w:t>21</w:t>
            </w:r>
          </w:p>
        </w:tc>
        <w:tc>
          <w:tcPr>
            <w:tcW w:w="737" w:type="dxa"/>
            <w:tcBorders>
              <w:right w:val="single" w:sz="4" w:space="0" w:color="033636" w:themeColor="text2"/>
            </w:tcBorders>
            <w:tcMar>
              <w:top w:w="96" w:type="dxa"/>
              <w:left w:w="113" w:type="dxa"/>
              <w:bottom w:w="96" w:type="dxa"/>
              <w:right w:w="113" w:type="dxa"/>
            </w:tcMar>
            <w:vAlign w:val="center"/>
          </w:tcPr>
          <w:p w14:paraId="769F9148" w14:textId="77777777" w:rsidR="00AE09DE" w:rsidRPr="00AE09DE" w:rsidRDefault="00AE09DE" w:rsidP="001025DA">
            <w:pPr>
              <w:pStyle w:val="CDIFigure-Table-BodyTextCentre"/>
            </w:pPr>
            <w:r w:rsidRPr="00AE09DE">
              <w:t>22</w:t>
            </w:r>
          </w:p>
        </w:tc>
        <w:tc>
          <w:tcPr>
            <w:tcW w:w="737" w:type="dxa"/>
            <w:tcBorders>
              <w:left w:val="single" w:sz="4" w:space="0" w:color="033636" w:themeColor="text2"/>
            </w:tcBorders>
            <w:tcMar>
              <w:top w:w="96" w:type="dxa"/>
              <w:left w:w="113" w:type="dxa"/>
              <w:bottom w:w="96" w:type="dxa"/>
              <w:right w:w="113" w:type="dxa"/>
            </w:tcMar>
            <w:vAlign w:val="center"/>
          </w:tcPr>
          <w:p w14:paraId="62955B8F" w14:textId="77777777" w:rsidR="00AE09DE" w:rsidRPr="00AE09DE" w:rsidRDefault="00AE09DE" w:rsidP="001025DA">
            <w:pPr>
              <w:pStyle w:val="CDIFigure-Table-BodyTextCentre"/>
            </w:pPr>
            <w:r w:rsidRPr="00AE09DE">
              <w:t>0.90</w:t>
            </w:r>
          </w:p>
        </w:tc>
        <w:tc>
          <w:tcPr>
            <w:tcW w:w="1021" w:type="dxa"/>
            <w:tcBorders>
              <w:right w:val="single" w:sz="4" w:space="0" w:color="033636" w:themeColor="text2"/>
            </w:tcBorders>
            <w:tcMar>
              <w:top w:w="96" w:type="dxa"/>
              <w:left w:w="113" w:type="dxa"/>
              <w:bottom w:w="96" w:type="dxa"/>
              <w:right w:w="113" w:type="dxa"/>
            </w:tcMar>
            <w:vAlign w:val="center"/>
          </w:tcPr>
          <w:p w14:paraId="16E673DD" w14:textId="77777777" w:rsidR="00AE09DE" w:rsidRPr="00AE09DE" w:rsidRDefault="00AE09DE" w:rsidP="001025DA">
            <w:pPr>
              <w:pStyle w:val="CDIFigure-Table-BodyTextCentre"/>
            </w:pPr>
            <w:r w:rsidRPr="00AE09DE">
              <w:t>0.59–1.37</w:t>
            </w:r>
          </w:p>
        </w:tc>
        <w:tc>
          <w:tcPr>
            <w:tcW w:w="737" w:type="dxa"/>
            <w:tcBorders>
              <w:left w:val="single" w:sz="4" w:space="0" w:color="033636" w:themeColor="text2"/>
            </w:tcBorders>
            <w:tcMar>
              <w:top w:w="96" w:type="dxa"/>
              <w:left w:w="113" w:type="dxa"/>
              <w:bottom w:w="96" w:type="dxa"/>
              <w:right w:w="113" w:type="dxa"/>
            </w:tcMar>
            <w:vAlign w:val="center"/>
          </w:tcPr>
          <w:p w14:paraId="21F7A2E1" w14:textId="77777777" w:rsidR="00AE09DE" w:rsidRPr="00AE09DE" w:rsidRDefault="00AE09DE" w:rsidP="001025DA">
            <w:pPr>
              <w:pStyle w:val="CDIFigure-Table-BodyTextCentre"/>
            </w:pPr>
            <w:r w:rsidRPr="00AE09DE">
              <w:t>0.94</w:t>
            </w:r>
          </w:p>
        </w:tc>
        <w:tc>
          <w:tcPr>
            <w:tcW w:w="1020" w:type="dxa"/>
            <w:tcBorders>
              <w:right w:val="single" w:sz="4" w:space="0" w:color="033636" w:themeColor="text2"/>
            </w:tcBorders>
            <w:tcMar>
              <w:top w:w="96" w:type="dxa"/>
              <w:left w:w="113" w:type="dxa"/>
              <w:bottom w:w="96" w:type="dxa"/>
              <w:right w:w="113" w:type="dxa"/>
            </w:tcMar>
            <w:vAlign w:val="center"/>
          </w:tcPr>
          <w:p w14:paraId="3430510E" w14:textId="77777777" w:rsidR="00AE09DE" w:rsidRPr="00AE09DE" w:rsidRDefault="00AE09DE" w:rsidP="001025DA">
            <w:pPr>
              <w:pStyle w:val="CDIFigure-Table-BodyTextCentre"/>
            </w:pPr>
            <w:r w:rsidRPr="00AE09DE">
              <w:t>0.62–1.43</w:t>
            </w:r>
          </w:p>
        </w:tc>
        <w:tc>
          <w:tcPr>
            <w:tcW w:w="737" w:type="dxa"/>
            <w:tcBorders>
              <w:left w:val="single" w:sz="4" w:space="0" w:color="033636" w:themeColor="text2"/>
            </w:tcBorders>
            <w:tcMar>
              <w:top w:w="96" w:type="dxa"/>
              <w:left w:w="113" w:type="dxa"/>
              <w:bottom w:w="96" w:type="dxa"/>
              <w:right w:w="113" w:type="dxa"/>
            </w:tcMar>
            <w:vAlign w:val="center"/>
          </w:tcPr>
          <w:p w14:paraId="3CA24C38" w14:textId="77777777" w:rsidR="00AE09DE" w:rsidRPr="00AE09DE" w:rsidRDefault="00AE09DE" w:rsidP="001025DA">
            <w:pPr>
              <w:pStyle w:val="CDIFigure-Table-BodyTextCentre"/>
            </w:pPr>
            <w:r w:rsidRPr="00AE09DE">
              <w:t>1.20</w:t>
            </w:r>
          </w:p>
        </w:tc>
        <w:tc>
          <w:tcPr>
            <w:tcW w:w="1021" w:type="dxa"/>
            <w:tcBorders>
              <w:right w:val="single" w:sz="4" w:space="0" w:color="033636" w:themeColor="text2"/>
            </w:tcBorders>
            <w:tcMar>
              <w:top w:w="96" w:type="dxa"/>
              <w:left w:w="113" w:type="dxa"/>
              <w:bottom w:w="96" w:type="dxa"/>
              <w:right w:w="113" w:type="dxa"/>
            </w:tcMar>
            <w:vAlign w:val="center"/>
          </w:tcPr>
          <w:p w14:paraId="3952DAC8" w14:textId="77777777" w:rsidR="00AE09DE" w:rsidRPr="00AE09DE" w:rsidRDefault="00AE09DE" w:rsidP="001025DA">
            <w:pPr>
              <w:pStyle w:val="CDIFigure-Table-BodyTextCentre"/>
            </w:pPr>
            <w:r w:rsidRPr="00AE09DE">
              <w:t>0.78–1.83</w:t>
            </w:r>
          </w:p>
        </w:tc>
        <w:tc>
          <w:tcPr>
            <w:tcW w:w="737" w:type="dxa"/>
            <w:tcBorders>
              <w:left w:val="single" w:sz="4" w:space="0" w:color="033636" w:themeColor="text2"/>
            </w:tcBorders>
            <w:tcMar>
              <w:top w:w="96" w:type="dxa"/>
              <w:left w:w="113" w:type="dxa"/>
              <w:bottom w:w="96" w:type="dxa"/>
              <w:right w:w="113" w:type="dxa"/>
            </w:tcMar>
            <w:vAlign w:val="center"/>
          </w:tcPr>
          <w:p w14:paraId="3AA00DB6" w14:textId="77777777" w:rsidR="00AE09DE" w:rsidRPr="00AE09DE" w:rsidRDefault="00AE09DE" w:rsidP="001025DA">
            <w:pPr>
              <w:pStyle w:val="CDIFigure-Table-BodyTextCentre"/>
            </w:pPr>
            <w:r w:rsidRPr="00AE09DE">
              <w:t>1.24</w:t>
            </w:r>
          </w:p>
        </w:tc>
        <w:tc>
          <w:tcPr>
            <w:tcW w:w="1020" w:type="dxa"/>
            <w:tcMar>
              <w:top w:w="96" w:type="dxa"/>
              <w:left w:w="113" w:type="dxa"/>
              <w:bottom w:w="96" w:type="dxa"/>
              <w:right w:w="113" w:type="dxa"/>
            </w:tcMar>
            <w:vAlign w:val="center"/>
          </w:tcPr>
          <w:p w14:paraId="293ADDE7" w14:textId="77777777" w:rsidR="00AE09DE" w:rsidRPr="00AE09DE" w:rsidRDefault="00AE09DE" w:rsidP="001025DA">
            <w:pPr>
              <w:pStyle w:val="CDIFigure-Table-BodyTextCentre"/>
            </w:pPr>
            <w:r w:rsidRPr="00AE09DE">
              <w:t>0.81–1.91</w:t>
            </w:r>
          </w:p>
        </w:tc>
      </w:tr>
      <w:tr w:rsidR="00554FA2" w:rsidRPr="00AE09DE" w14:paraId="6C6AA58C"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3D281305" w14:textId="77777777" w:rsidR="00AE09DE" w:rsidRPr="00AE09DE" w:rsidRDefault="00AE09DE" w:rsidP="00AE09DE"/>
        </w:tc>
        <w:tc>
          <w:tcPr>
            <w:tcW w:w="2891" w:type="dxa"/>
            <w:tcMar>
              <w:top w:w="96" w:type="dxa"/>
              <w:left w:w="113" w:type="dxa"/>
              <w:bottom w:w="96" w:type="dxa"/>
              <w:right w:w="113" w:type="dxa"/>
            </w:tcMar>
            <w:vAlign w:val="center"/>
          </w:tcPr>
          <w:p w14:paraId="456E8DC5" w14:textId="3FCBD355" w:rsidR="00AE09DE" w:rsidRPr="00AE09DE" w:rsidRDefault="00AE09DE" w:rsidP="001025DA">
            <w:pPr>
              <w:pStyle w:val="CDIFigure-Table-BodyTextLeft"/>
            </w:pPr>
            <w:r w:rsidRPr="00AE09DE">
              <w:t>Syphilis &gt; 2 years or unspecified duration</w:t>
            </w:r>
          </w:p>
        </w:tc>
        <w:tc>
          <w:tcPr>
            <w:tcW w:w="737" w:type="dxa"/>
            <w:tcMar>
              <w:top w:w="96" w:type="dxa"/>
              <w:left w:w="113" w:type="dxa"/>
              <w:bottom w:w="96" w:type="dxa"/>
              <w:right w:w="113" w:type="dxa"/>
            </w:tcMar>
            <w:vAlign w:val="center"/>
          </w:tcPr>
          <w:p w14:paraId="3D418812" w14:textId="77777777" w:rsidR="00AE09DE" w:rsidRPr="00AE09DE" w:rsidRDefault="00AE09DE" w:rsidP="001025DA">
            <w:pPr>
              <w:pStyle w:val="CDIFigure-Table-BodyTextCentre"/>
            </w:pPr>
            <w:r w:rsidRPr="00AE09DE">
              <w:t>9.81</w:t>
            </w:r>
          </w:p>
        </w:tc>
        <w:tc>
          <w:tcPr>
            <w:tcW w:w="794" w:type="dxa"/>
            <w:tcMar>
              <w:top w:w="96" w:type="dxa"/>
              <w:left w:w="113" w:type="dxa"/>
              <w:bottom w:w="96" w:type="dxa"/>
              <w:right w:w="113" w:type="dxa"/>
            </w:tcMar>
            <w:vAlign w:val="center"/>
          </w:tcPr>
          <w:p w14:paraId="160DFBA6" w14:textId="77777777" w:rsidR="00AE09DE" w:rsidRPr="00AE09DE" w:rsidRDefault="00AE09DE" w:rsidP="001025DA">
            <w:pPr>
              <w:pStyle w:val="CDIFigure-Table-BodyTextCentre"/>
            </w:pPr>
            <w:r w:rsidRPr="00AE09DE">
              <w:t>8.53</w:t>
            </w:r>
          </w:p>
        </w:tc>
        <w:tc>
          <w:tcPr>
            <w:tcW w:w="737" w:type="dxa"/>
            <w:tcMar>
              <w:top w:w="96" w:type="dxa"/>
              <w:left w:w="113" w:type="dxa"/>
              <w:bottom w:w="96" w:type="dxa"/>
              <w:right w:w="113" w:type="dxa"/>
            </w:tcMar>
            <w:vAlign w:val="center"/>
          </w:tcPr>
          <w:p w14:paraId="317BD25E" w14:textId="77777777" w:rsidR="00AE09DE" w:rsidRPr="00AE09DE" w:rsidRDefault="00AE09DE" w:rsidP="001025DA">
            <w:pPr>
              <w:pStyle w:val="CDIFigure-Table-BodyTextCentre"/>
            </w:pPr>
            <w:r w:rsidRPr="00AE09DE">
              <w:t>8.08</w:t>
            </w:r>
          </w:p>
        </w:tc>
        <w:tc>
          <w:tcPr>
            <w:tcW w:w="737" w:type="dxa"/>
            <w:tcBorders>
              <w:right w:val="single" w:sz="4" w:space="0" w:color="033636" w:themeColor="text2"/>
            </w:tcBorders>
            <w:tcMar>
              <w:top w:w="96" w:type="dxa"/>
              <w:left w:w="113" w:type="dxa"/>
              <w:bottom w:w="96" w:type="dxa"/>
              <w:right w:w="113" w:type="dxa"/>
            </w:tcMar>
            <w:vAlign w:val="center"/>
          </w:tcPr>
          <w:p w14:paraId="7642296D" w14:textId="77777777" w:rsidR="00AE09DE" w:rsidRPr="00AE09DE" w:rsidRDefault="00AE09DE" w:rsidP="001025DA">
            <w:pPr>
              <w:pStyle w:val="CDIFigure-Table-BodyTextCentre"/>
            </w:pPr>
            <w:r w:rsidRPr="00AE09DE">
              <w:t>7.34</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633C2D29" w14:textId="77777777" w:rsidR="00AE09DE" w:rsidRPr="00AE09DE" w:rsidRDefault="00AE09DE" w:rsidP="001025DA">
            <w:pPr>
              <w:pStyle w:val="CDIFigure-Table-BodyTextCentre"/>
            </w:pPr>
            <w:r w:rsidRPr="00AE09DE">
              <w:t>0.82</w:t>
            </w:r>
          </w:p>
        </w:tc>
        <w:tc>
          <w:tcPr>
            <w:tcW w:w="1021"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169D73C2" w14:textId="77777777" w:rsidR="00AE09DE" w:rsidRPr="00AE09DE" w:rsidRDefault="00AE09DE" w:rsidP="001025DA">
            <w:pPr>
              <w:pStyle w:val="CDIFigure-Table-BodyTextCentre"/>
            </w:pPr>
            <w:r w:rsidRPr="00AE09DE">
              <w:t>0.73–0.92</w:t>
            </w:r>
          </w:p>
        </w:tc>
        <w:tc>
          <w:tcPr>
            <w:tcW w:w="737" w:type="dxa"/>
            <w:tcBorders>
              <w:left w:val="single" w:sz="4" w:space="0" w:color="033636" w:themeColor="text2"/>
            </w:tcBorders>
            <w:shd w:val="clear" w:color="auto" w:fill="93F9F9" w:themeFill="text2" w:themeFillTint="40"/>
            <w:tcMar>
              <w:top w:w="96" w:type="dxa"/>
              <w:left w:w="113" w:type="dxa"/>
              <w:bottom w:w="96" w:type="dxa"/>
              <w:right w:w="113" w:type="dxa"/>
            </w:tcMar>
            <w:vAlign w:val="center"/>
          </w:tcPr>
          <w:p w14:paraId="316EA89A" w14:textId="77777777" w:rsidR="00AE09DE" w:rsidRPr="00AE09DE" w:rsidRDefault="00AE09DE" w:rsidP="001025DA">
            <w:pPr>
              <w:pStyle w:val="CDIFigure-Table-BodyTextCentre"/>
            </w:pPr>
            <w:r w:rsidRPr="00AE09DE">
              <w:t>0.75</w:t>
            </w:r>
          </w:p>
        </w:tc>
        <w:tc>
          <w:tcPr>
            <w:tcW w:w="1020" w:type="dxa"/>
            <w:tcBorders>
              <w:right w:val="single" w:sz="4" w:space="0" w:color="033636" w:themeColor="text2"/>
            </w:tcBorders>
            <w:shd w:val="clear" w:color="auto" w:fill="93F9F9" w:themeFill="text2" w:themeFillTint="40"/>
            <w:tcMar>
              <w:top w:w="96" w:type="dxa"/>
              <w:left w:w="113" w:type="dxa"/>
              <w:bottom w:w="96" w:type="dxa"/>
              <w:right w:w="113" w:type="dxa"/>
            </w:tcMar>
            <w:vAlign w:val="center"/>
          </w:tcPr>
          <w:p w14:paraId="7D46EE96" w14:textId="77777777" w:rsidR="00AE09DE" w:rsidRPr="00AE09DE" w:rsidRDefault="00AE09DE" w:rsidP="001025DA">
            <w:pPr>
              <w:pStyle w:val="CDIFigure-Table-BodyTextCentre"/>
            </w:pPr>
            <w:r w:rsidRPr="00AE09DE">
              <w:t>0.67–0.84</w:t>
            </w:r>
          </w:p>
        </w:tc>
        <w:tc>
          <w:tcPr>
            <w:tcW w:w="737" w:type="dxa"/>
            <w:tcBorders>
              <w:left w:val="single" w:sz="4" w:space="0" w:color="033636" w:themeColor="text2"/>
            </w:tcBorders>
            <w:tcMar>
              <w:top w:w="96" w:type="dxa"/>
              <w:left w:w="113" w:type="dxa"/>
              <w:bottom w:w="96" w:type="dxa"/>
              <w:right w:w="113" w:type="dxa"/>
            </w:tcMar>
            <w:vAlign w:val="center"/>
          </w:tcPr>
          <w:p w14:paraId="253BFE1C" w14:textId="77777777" w:rsidR="00AE09DE" w:rsidRPr="00AE09DE" w:rsidRDefault="00AE09DE" w:rsidP="001025DA">
            <w:pPr>
              <w:pStyle w:val="CDIFigure-Table-BodyTextCentre"/>
            </w:pPr>
            <w:r w:rsidRPr="00AE09DE">
              <w:t>0.95</w:t>
            </w:r>
          </w:p>
        </w:tc>
        <w:tc>
          <w:tcPr>
            <w:tcW w:w="1021" w:type="dxa"/>
            <w:tcBorders>
              <w:right w:val="single" w:sz="4" w:space="0" w:color="033636" w:themeColor="text2"/>
            </w:tcBorders>
            <w:tcMar>
              <w:top w:w="96" w:type="dxa"/>
              <w:left w:w="113" w:type="dxa"/>
              <w:bottom w:w="96" w:type="dxa"/>
              <w:right w:w="113" w:type="dxa"/>
            </w:tcMar>
            <w:vAlign w:val="center"/>
          </w:tcPr>
          <w:p w14:paraId="09903757" w14:textId="77777777" w:rsidR="00AE09DE" w:rsidRPr="00AE09DE" w:rsidRDefault="00AE09DE" w:rsidP="001025DA">
            <w:pPr>
              <w:pStyle w:val="CDIFigure-Table-BodyTextCentre"/>
            </w:pPr>
            <w:r w:rsidRPr="00AE09DE">
              <w:t>0.81–1.11</w:t>
            </w:r>
          </w:p>
        </w:tc>
        <w:tc>
          <w:tcPr>
            <w:tcW w:w="737" w:type="dxa"/>
            <w:tcBorders>
              <w:left w:val="single" w:sz="4" w:space="0" w:color="033636" w:themeColor="text2"/>
            </w:tcBorders>
            <w:tcMar>
              <w:top w:w="96" w:type="dxa"/>
              <w:left w:w="113" w:type="dxa"/>
              <w:bottom w:w="96" w:type="dxa"/>
              <w:right w:w="113" w:type="dxa"/>
            </w:tcMar>
            <w:vAlign w:val="center"/>
          </w:tcPr>
          <w:p w14:paraId="7CA7BCCC" w14:textId="77777777" w:rsidR="00AE09DE" w:rsidRPr="00AE09DE" w:rsidRDefault="00AE09DE" w:rsidP="001025DA">
            <w:pPr>
              <w:pStyle w:val="CDIFigure-Table-BodyTextCentre"/>
            </w:pPr>
            <w:r w:rsidRPr="00AE09DE">
              <w:t>0.86</w:t>
            </w:r>
          </w:p>
        </w:tc>
        <w:tc>
          <w:tcPr>
            <w:tcW w:w="1020" w:type="dxa"/>
            <w:tcMar>
              <w:top w:w="96" w:type="dxa"/>
              <w:left w:w="113" w:type="dxa"/>
              <w:bottom w:w="96" w:type="dxa"/>
              <w:right w:w="113" w:type="dxa"/>
            </w:tcMar>
            <w:vAlign w:val="center"/>
          </w:tcPr>
          <w:p w14:paraId="4A02E727" w14:textId="77777777" w:rsidR="00AE09DE" w:rsidRPr="00AE09DE" w:rsidRDefault="00AE09DE" w:rsidP="001025DA">
            <w:pPr>
              <w:pStyle w:val="CDIFigure-Table-BodyTextCentre"/>
            </w:pPr>
            <w:r w:rsidRPr="00AE09DE">
              <w:t>0.73–1.01</w:t>
            </w:r>
          </w:p>
        </w:tc>
      </w:tr>
      <w:tr w:rsidR="00554FA2" w:rsidRPr="00AE09DE" w14:paraId="6C890855"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525DD8A8" w14:textId="77777777" w:rsidR="00AE09DE" w:rsidRPr="00AE09DE" w:rsidRDefault="00AE09DE" w:rsidP="00AE09DE"/>
        </w:tc>
        <w:tc>
          <w:tcPr>
            <w:tcW w:w="2891" w:type="dxa"/>
            <w:tcBorders>
              <w:bottom w:val="single" w:sz="4" w:space="0" w:color="033636" w:themeColor="text2"/>
            </w:tcBorders>
            <w:tcMar>
              <w:top w:w="96" w:type="dxa"/>
              <w:left w:w="113" w:type="dxa"/>
              <w:bottom w:w="96" w:type="dxa"/>
              <w:right w:w="113" w:type="dxa"/>
            </w:tcMar>
            <w:vAlign w:val="center"/>
          </w:tcPr>
          <w:p w14:paraId="754D74FA" w14:textId="77777777" w:rsidR="00AE09DE" w:rsidRPr="00AE09DE" w:rsidRDefault="00AE09DE" w:rsidP="001025DA">
            <w:pPr>
              <w:pStyle w:val="CDIFigure-Table-BodyTextLeft"/>
            </w:pPr>
            <w:r w:rsidRPr="00AE09DE">
              <w:t>Infectious syphilis</w:t>
            </w:r>
          </w:p>
        </w:tc>
        <w:tc>
          <w:tcPr>
            <w:tcW w:w="737" w:type="dxa"/>
            <w:tcBorders>
              <w:bottom w:val="single" w:sz="4" w:space="0" w:color="033636" w:themeColor="text2"/>
            </w:tcBorders>
            <w:tcMar>
              <w:top w:w="96" w:type="dxa"/>
              <w:left w:w="113" w:type="dxa"/>
              <w:bottom w:w="96" w:type="dxa"/>
              <w:right w:w="113" w:type="dxa"/>
            </w:tcMar>
            <w:vAlign w:val="center"/>
          </w:tcPr>
          <w:p w14:paraId="378D93C1" w14:textId="77777777" w:rsidR="00AE09DE" w:rsidRPr="00AE09DE" w:rsidRDefault="00AE09DE" w:rsidP="001025DA">
            <w:pPr>
              <w:pStyle w:val="CDIFigure-Table-BodyTextCentre"/>
            </w:pPr>
            <w:r w:rsidRPr="00AE09DE">
              <w:t>33</w:t>
            </w:r>
          </w:p>
        </w:tc>
        <w:tc>
          <w:tcPr>
            <w:tcW w:w="794" w:type="dxa"/>
            <w:tcBorders>
              <w:bottom w:val="single" w:sz="4" w:space="0" w:color="033636" w:themeColor="text2"/>
            </w:tcBorders>
            <w:tcMar>
              <w:top w:w="96" w:type="dxa"/>
              <w:left w:w="113" w:type="dxa"/>
              <w:bottom w:w="96" w:type="dxa"/>
              <w:right w:w="113" w:type="dxa"/>
            </w:tcMar>
            <w:vAlign w:val="center"/>
          </w:tcPr>
          <w:p w14:paraId="4D6A338C" w14:textId="77777777" w:rsidR="00AE09DE" w:rsidRPr="00AE09DE" w:rsidRDefault="00AE09DE" w:rsidP="001025DA">
            <w:pPr>
              <w:pStyle w:val="CDIFigure-Table-BodyTextCentre"/>
            </w:pPr>
            <w:r w:rsidRPr="00AE09DE">
              <w:t>26</w:t>
            </w:r>
          </w:p>
        </w:tc>
        <w:tc>
          <w:tcPr>
            <w:tcW w:w="737" w:type="dxa"/>
            <w:tcBorders>
              <w:bottom w:val="single" w:sz="4" w:space="0" w:color="033636" w:themeColor="text2"/>
            </w:tcBorders>
            <w:tcMar>
              <w:top w:w="96" w:type="dxa"/>
              <w:left w:w="113" w:type="dxa"/>
              <w:bottom w:w="96" w:type="dxa"/>
              <w:right w:w="113" w:type="dxa"/>
            </w:tcMar>
            <w:vAlign w:val="center"/>
          </w:tcPr>
          <w:p w14:paraId="7E4852EE" w14:textId="77777777" w:rsidR="00AE09DE" w:rsidRPr="00AE09DE" w:rsidRDefault="00AE09DE" w:rsidP="001025DA">
            <w:pPr>
              <w:pStyle w:val="CDIFigure-Table-BodyTextCentre"/>
            </w:pPr>
            <w:r w:rsidRPr="00AE09DE">
              <w:t>29</w:t>
            </w:r>
          </w:p>
        </w:tc>
        <w:tc>
          <w:tcPr>
            <w:tcW w:w="737"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37A262D5" w14:textId="77777777" w:rsidR="00AE09DE" w:rsidRPr="00AE09DE" w:rsidRDefault="00AE09DE" w:rsidP="001025DA">
            <w:pPr>
              <w:pStyle w:val="CDIFigure-Table-BodyTextCentre"/>
            </w:pPr>
            <w:r w:rsidRPr="00AE09DE">
              <w:t>29</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6BB64E48" w14:textId="77777777" w:rsidR="00AE09DE" w:rsidRPr="00AE09DE" w:rsidRDefault="00AE09DE" w:rsidP="001025DA">
            <w:pPr>
              <w:pStyle w:val="CDIFigure-Table-BodyTextCentre"/>
            </w:pPr>
            <w:r w:rsidRPr="00AE09DE">
              <w:t>0.88</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4BE6163E" w14:textId="77777777" w:rsidR="00AE09DE" w:rsidRPr="00AE09DE" w:rsidRDefault="00AE09DE" w:rsidP="001025DA">
            <w:pPr>
              <w:pStyle w:val="CDIFigure-Table-BodyTextCentre"/>
            </w:pPr>
            <w:r w:rsidRPr="00AE09DE">
              <w:t>0.65–1.19</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54F02C8D" w14:textId="77777777" w:rsidR="00AE09DE" w:rsidRPr="00AE09DE" w:rsidRDefault="00AE09DE" w:rsidP="001025DA">
            <w:pPr>
              <w:pStyle w:val="CDIFigure-Table-BodyTextCentre"/>
            </w:pPr>
            <w:r w:rsidRPr="00AE09DE">
              <w:t>0.88</w:t>
            </w:r>
          </w:p>
        </w:tc>
        <w:tc>
          <w:tcPr>
            <w:tcW w:w="1020"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1CEA09DF" w14:textId="77777777" w:rsidR="00AE09DE" w:rsidRPr="00AE09DE" w:rsidRDefault="00AE09DE" w:rsidP="001025DA">
            <w:pPr>
              <w:pStyle w:val="CDIFigure-Table-BodyTextCentre"/>
            </w:pPr>
            <w:r w:rsidRPr="00AE09DE">
              <w:t>0.65–1.20</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59897206" w14:textId="77777777" w:rsidR="00AE09DE" w:rsidRPr="00AE09DE" w:rsidRDefault="00AE09DE" w:rsidP="001025DA">
            <w:pPr>
              <w:pStyle w:val="CDIFigure-Table-BodyTextCentre"/>
            </w:pPr>
            <w:r w:rsidRPr="00AE09DE">
              <w:t>1.11</w:t>
            </w:r>
          </w:p>
        </w:tc>
        <w:tc>
          <w:tcPr>
            <w:tcW w:w="1021" w:type="dxa"/>
            <w:tcBorders>
              <w:bottom w:val="single" w:sz="4" w:space="0" w:color="033636" w:themeColor="text2"/>
              <w:right w:val="single" w:sz="4" w:space="0" w:color="033636" w:themeColor="text2"/>
            </w:tcBorders>
            <w:tcMar>
              <w:top w:w="96" w:type="dxa"/>
              <w:left w:w="113" w:type="dxa"/>
              <w:bottom w:w="96" w:type="dxa"/>
              <w:right w:w="113" w:type="dxa"/>
            </w:tcMar>
            <w:vAlign w:val="center"/>
          </w:tcPr>
          <w:p w14:paraId="08E82AFF" w14:textId="77777777" w:rsidR="00AE09DE" w:rsidRPr="00AE09DE" w:rsidRDefault="00AE09DE" w:rsidP="001025DA">
            <w:pPr>
              <w:pStyle w:val="CDIFigure-Table-BodyTextCentre"/>
            </w:pPr>
            <w:r w:rsidRPr="00AE09DE">
              <w:t>0.80–1.55</w:t>
            </w:r>
          </w:p>
        </w:tc>
        <w:tc>
          <w:tcPr>
            <w:tcW w:w="737" w:type="dxa"/>
            <w:tcBorders>
              <w:left w:val="single" w:sz="4" w:space="0" w:color="033636" w:themeColor="text2"/>
              <w:bottom w:val="single" w:sz="4" w:space="0" w:color="033636" w:themeColor="text2"/>
            </w:tcBorders>
            <w:tcMar>
              <w:top w:w="96" w:type="dxa"/>
              <w:left w:w="113" w:type="dxa"/>
              <w:bottom w:w="96" w:type="dxa"/>
              <w:right w:w="113" w:type="dxa"/>
            </w:tcMar>
            <w:vAlign w:val="center"/>
          </w:tcPr>
          <w:p w14:paraId="4DC631CE" w14:textId="77777777" w:rsidR="00AE09DE" w:rsidRPr="00AE09DE" w:rsidRDefault="00AE09DE" w:rsidP="001025DA">
            <w:pPr>
              <w:pStyle w:val="CDIFigure-Table-BodyTextCentre"/>
            </w:pPr>
            <w:r w:rsidRPr="00AE09DE">
              <w:t>1.12</w:t>
            </w:r>
          </w:p>
        </w:tc>
        <w:tc>
          <w:tcPr>
            <w:tcW w:w="1020" w:type="dxa"/>
            <w:tcBorders>
              <w:bottom w:val="single" w:sz="4" w:space="0" w:color="033636" w:themeColor="text2"/>
            </w:tcBorders>
            <w:tcMar>
              <w:top w:w="96" w:type="dxa"/>
              <w:left w:w="113" w:type="dxa"/>
              <w:bottom w:w="96" w:type="dxa"/>
              <w:right w:w="113" w:type="dxa"/>
            </w:tcMar>
            <w:vAlign w:val="center"/>
          </w:tcPr>
          <w:p w14:paraId="47719C61" w14:textId="77777777" w:rsidR="00AE09DE" w:rsidRPr="00AE09DE" w:rsidRDefault="00AE09DE" w:rsidP="001025DA">
            <w:pPr>
              <w:pStyle w:val="CDIFigure-Table-BodyTextCentre"/>
            </w:pPr>
            <w:r w:rsidRPr="00AE09DE">
              <w:t>0.80–1.56</w:t>
            </w:r>
          </w:p>
        </w:tc>
      </w:tr>
      <w:tr w:rsidR="00554FA2" w:rsidRPr="00AE09DE" w14:paraId="45FF1191"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118F93" w14:textId="77777777" w:rsidR="00AE09DE" w:rsidRPr="00AE09DE" w:rsidRDefault="00AE09DE" w:rsidP="001025DA">
            <w:pPr>
              <w:pStyle w:val="CDIFigure-Table-BodyTextLeft"/>
            </w:pPr>
            <w:r w:rsidRPr="00AE09DE">
              <w:t>Vectorborne diseases</w:t>
            </w:r>
          </w:p>
        </w:tc>
        <w:tc>
          <w:tcPr>
            <w:tcW w:w="2891" w:type="dxa"/>
            <w:tcBorders>
              <w:top w:val="single" w:sz="4" w:space="0" w:color="033636" w:themeColor="text2"/>
            </w:tcBorders>
            <w:tcMar>
              <w:top w:w="113" w:type="dxa"/>
              <w:left w:w="113" w:type="dxa"/>
              <w:bottom w:w="113" w:type="dxa"/>
              <w:right w:w="113" w:type="dxa"/>
            </w:tcMar>
            <w:vAlign w:val="center"/>
          </w:tcPr>
          <w:p w14:paraId="1CBDED6B" w14:textId="77777777" w:rsidR="00AE09DE" w:rsidRPr="00AE09DE" w:rsidRDefault="00AE09DE" w:rsidP="001025DA">
            <w:pPr>
              <w:pStyle w:val="CDIFigure-Table-BodyTextLeft"/>
            </w:pPr>
            <w:r w:rsidRPr="00AE09DE">
              <w:t>Barmah Forest virus infection</w:t>
            </w:r>
          </w:p>
        </w:tc>
        <w:tc>
          <w:tcPr>
            <w:tcW w:w="737" w:type="dxa"/>
            <w:tcBorders>
              <w:top w:val="single" w:sz="4" w:space="0" w:color="033636" w:themeColor="text2"/>
            </w:tcBorders>
            <w:tcMar>
              <w:top w:w="113" w:type="dxa"/>
              <w:left w:w="113" w:type="dxa"/>
              <w:bottom w:w="113" w:type="dxa"/>
              <w:right w:w="113" w:type="dxa"/>
            </w:tcMar>
            <w:vAlign w:val="center"/>
          </w:tcPr>
          <w:p w14:paraId="3D49F4BE" w14:textId="77777777" w:rsidR="00AE09DE" w:rsidRPr="00AE09DE" w:rsidRDefault="00AE09DE" w:rsidP="001025DA">
            <w:pPr>
              <w:pStyle w:val="CDIFigure-Table-BodyTextCentre"/>
            </w:pPr>
            <w:r w:rsidRPr="00AE09DE">
              <w:t>0.94</w:t>
            </w:r>
          </w:p>
        </w:tc>
        <w:tc>
          <w:tcPr>
            <w:tcW w:w="794" w:type="dxa"/>
            <w:tcBorders>
              <w:top w:val="single" w:sz="4" w:space="0" w:color="033636" w:themeColor="text2"/>
            </w:tcBorders>
            <w:tcMar>
              <w:top w:w="113" w:type="dxa"/>
              <w:left w:w="113" w:type="dxa"/>
              <w:bottom w:w="113" w:type="dxa"/>
              <w:right w:w="113" w:type="dxa"/>
            </w:tcMar>
            <w:vAlign w:val="center"/>
          </w:tcPr>
          <w:p w14:paraId="593EF2D1" w14:textId="77777777" w:rsidR="00AE09DE" w:rsidRPr="00AE09DE" w:rsidRDefault="00AE09DE" w:rsidP="001025DA">
            <w:pPr>
              <w:pStyle w:val="CDIFigure-Table-BodyTextCentre"/>
            </w:pPr>
            <w:r w:rsidRPr="00AE09DE">
              <w:t>1.60</w:t>
            </w:r>
          </w:p>
        </w:tc>
        <w:tc>
          <w:tcPr>
            <w:tcW w:w="737" w:type="dxa"/>
            <w:tcBorders>
              <w:top w:val="single" w:sz="4" w:space="0" w:color="033636" w:themeColor="text2"/>
            </w:tcBorders>
            <w:tcMar>
              <w:top w:w="113" w:type="dxa"/>
              <w:left w:w="113" w:type="dxa"/>
              <w:bottom w:w="113" w:type="dxa"/>
              <w:right w:w="113" w:type="dxa"/>
            </w:tcMar>
            <w:vAlign w:val="center"/>
          </w:tcPr>
          <w:p w14:paraId="5EF614F0" w14:textId="77777777" w:rsidR="00AE09DE" w:rsidRPr="00AE09DE" w:rsidRDefault="00AE09DE" w:rsidP="001025DA">
            <w:pPr>
              <w:pStyle w:val="CDIFigure-Table-BodyTextCentre"/>
            </w:pPr>
            <w:r w:rsidRPr="00AE09DE">
              <w:t>2.85</w:t>
            </w:r>
          </w:p>
        </w:tc>
        <w:tc>
          <w:tcPr>
            <w:tcW w:w="737"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18E334D" w14:textId="77777777" w:rsidR="00AE09DE" w:rsidRPr="00AE09DE" w:rsidRDefault="00AE09DE" w:rsidP="001025DA">
            <w:pPr>
              <w:pStyle w:val="CDIFigure-Table-BodyTextCentre"/>
            </w:pPr>
            <w:r w:rsidRPr="00AE09DE">
              <w:t>1.49</w:t>
            </w:r>
          </w:p>
        </w:tc>
        <w:tc>
          <w:tcPr>
            <w:tcW w:w="737" w:type="dxa"/>
            <w:tcBorders>
              <w:top w:val="single" w:sz="4" w:space="0" w:color="033636" w:themeColor="text2"/>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6752CAF7" w14:textId="77777777" w:rsidR="00AE09DE" w:rsidRPr="00AE09DE" w:rsidRDefault="00AE09DE" w:rsidP="001025DA">
            <w:pPr>
              <w:pStyle w:val="CDIFigure-Table-BodyTextCentre"/>
            </w:pPr>
            <w:r w:rsidRPr="00AE09DE">
              <w:t>3.02</w:t>
            </w:r>
          </w:p>
        </w:tc>
        <w:tc>
          <w:tcPr>
            <w:tcW w:w="1021" w:type="dxa"/>
            <w:tcBorders>
              <w:top w:val="single" w:sz="4" w:space="0" w:color="033636" w:themeColor="text2"/>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6E415632" w14:textId="77777777" w:rsidR="00AE09DE" w:rsidRPr="00AE09DE" w:rsidRDefault="00AE09DE" w:rsidP="001025DA">
            <w:pPr>
              <w:pStyle w:val="CDIFigure-Table-BodyTextCentre"/>
            </w:pPr>
            <w:r w:rsidRPr="00AE09DE">
              <w:t>1.65–5.51</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B94AEA7" w14:textId="77777777" w:rsidR="00AE09DE" w:rsidRPr="00AE09DE" w:rsidRDefault="00AE09DE" w:rsidP="001025DA">
            <w:pPr>
              <w:pStyle w:val="CDIFigure-Table-BodyTextCentre"/>
            </w:pPr>
            <w:r w:rsidRPr="00AE09DE">
              <w:t>1.58</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1FD2B7C" w14:textId="77777777" w:rsidR="00AE09DE" w:rsidRPr="00AE09DE" w:rsidRDefault="00AE09DE" w:rsidP="001025DA">
            <w:pPr>
              <w:pStyle w:val="CDIFigure-Table-BodyTextCentre"/>
            </w:pPr>
            <w:r w:rsidRPr="00AE09DE">
              <w:t>0.86–2.89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187A26B1" w14:textId="77777777" w:rsidR="00AE09DE" w:rsidRPr="00AE09DE" w:rsidRDefault="00AE09DE" w:rsidP="001025DA">
            <w:pPr>
              <w:pStyle w:val="CDIFigure-Table-BodyTextCentre"/>
            </w:pPr>
            <w:r w:rsidRPr="00AE09DE">
              <w:t>1.77</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12B047B" w14:textId="77777777" w:rsidR="00AE09DE" w:rsidRPr="00AE09DE" w:rsidRDefault="00AE09DE" w:rsidP="001025DA">
            <w:pPr>
              <w:pStyle w:val="CDIFigure-Table-BodyTextCentre"/>
            </w:pPr>
            <w:r w:rsidRPr="00AE09DE">
              <w:t>0.95–3.31</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A57B4A9" w14:textId="77777777" w:rsidR="00AE09DE" w:rsidRPr="00AE09DE" w:rsidRDefault="00AE09DE" w:rsidP="001025DA">
            <w:pPr>
              <w:pStyle w:val="CDIFigure-Table-BodyTextCentre"/>
            </w:pPr>
            <w:r w:rsidRPr="00AE09DE">
              <w:t>0.93</w:t>
            </w:r>
          </w:p>
        </w:tc>
        <w:tc>
          <w:tcPr>
            <w:tcW w:w="1020" w:type="dxa"/>
            <w:tcBorders>
              <w:top w:val="single" w:sz="4" w:space="0" w:color="033636" w:themeColor="text2"/>
            </w:tcBorders>
            <w:tcMar>
              <w:top w:w="113" w:type="dxa"/>
              <w:left w:w="113" w:type="dxa"/>
              <w:bottom w:w="113" w:type="dxa"/>
              <w:right w:w="113" w:type="dxa"/>
            </w:tcMar>
            <w:vAlign w:val="center"/>
          </w:tcPr>
          <w:p w14:paraId="61BA5FEE" w14:textId="77777777" w:rsidR="00AE09DE" w:rsidRPr="00AE09DE" w:rsidRDefault="00AE09DE" w:rsidP="001025DA">
            <w:pPr>
              <w:pStyle w:val="CDIFigure-Table-BodyTextCentre"/>
            </w:pPr>
            <w:r w:rsidRPr="00AE09DE">
              <w:t>0.50–1.74</w:t>
            </w:r>
          </w:p>
        </w:tc>
      </w:tr>
      <w:tr w:rsidR="008659EE" w:rsidRPr="00AE09DE" w14:paraId="34CB6389"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6551B4ED" w14:textId="77777777" w:rsidR="00AE09DE" w:rsidRPr="00AE09DE" w:rsidRDefault="00AE09DE" w:rsidP="00AE09DE"/>
        </w:tc>
        <w:tc>
          <w:tcPr>
            <w:tcW w:w="2891" w:type="dxa"/>
            <w:tcMar>
              <w:top w:w="113" w:type="dxa"/>
              <w:left w:w="113" w:type="dxa"/>
              <w:bottom w:w="113" w:type="dxa"/>
              <w:right w:w="113" w:type="dxa"/>
            </w:tcMar>
            <w:vAlign w:val="center"/>
          </w:tcPr>
          <w:p w14:paraId="0A96CC5B" w14:textId="77777777" w:rsidR="00AE09DE" w:rsidRPr="00AE09DE" w:rsidRDefault="00AE09DE" w:rsidP="001025DA">
            <w:pPr>
              <w:pStyle w:val="CDIFigure-Table-BodyTextLeft"/>
            </w:pPr>
            <w:r w:rsidRPr="00AE09DE">
              <w:t>Dengue virus infection</w:t>
            </w:r>
          </w:p>
        </w:tc>
        <w:tc>
          <w:tcPr>
            <w:tcW w:w="737" w:type="dxa"/>
            <w:tcMar>
              <w:top w:w="113" w:type="dxa"/>
              <w:left w:w="113" w:type="dxa"/>
              <w:bottom w:w="113" w:type="dxa"/>
              <w:right w:w="113" w:type="dxa"/>
            </w:tcMar>
            <w:vAlign w:val="center"/>
          </w:tcPr>
          <w:p w14:paraId="562A73E2" w14:textId="77777777" w:rsidR="00AE09DE" w:rsidRPr="00AE09DE" w:rsidRDefault="00AE09DE" w:rsidP="001025DA">
            <w:pPr>
              <w:pStyle w:val="CDIFigure-Table-BodyTextCentre"/>
            </w:pPr>
            <w:r w:rsidRPr="00AE09DE">
              <w:t>5.73</w:t>
            </w:r>
          </w:p>
        </w:tc>
        <w:tc>
          <w:tcPr>
            <w:tcW w:w="794" w:type="dxa"/>
            <w:tcMar>
              <w:top w:w="113" w:type="dxa"/>
              <w:left w:w="113" w:type="dxa"/>
              <w:bottom w:w="113" w:type="dxa"/>
              <w:right w:w="113" w:type="dxa"/>
            </w:tcMar>
            <w:vAlign w:val="center"/>
          </w:tcPr>
          <w:p w14:paraId="35AC811D" w14:textId="77777777" w:rsidR="00AE09DE" w:rsidRPr="00AE09DE" w:rsidRDefault="00AE09DE" w:rsidP="001025DA">
            <w:pPr>
              <w:pStyle w:val="CDIFigure-Table-BodyTextCentre"/>
            </w:pPr>
            <w:r w:rsidRPr="00AE09DE">
              <w:t>6.07</w:t>
            </w:r>
          </w:p>
        </w:tc>
        <w:tc>
          <w:tcPr>
            <w:tcW w:w="737" w:type="dxa"/>
            <w:tcMar>
              <w:top w:w="113" w:type="dxa"/>
              <w:left w:w="113" w:type="dxa"/>
              <w:bottom w:w="113" w:type="dxa"/>
              <w:right w:w="113" w:type="dxa"/>
            </w:tcMar>
            <w:vAlign w:val="center"/>
          </w:tcPr>
          <w:p w14:paraId="35E21179" w14:textId="77777777" w:rsidR="00AE09DE" w:rsidRPr="00AE09DE" w:rsidRDefault="00AE09DE" w:rsidP="001025DA">
            <w:pPr>
              <w:pStyle w:val="CDIFigure-Table-BodyTextCentre"/>
            </w:pPr>
            <w:r w:rsidRPr="00AE09DE">
              <w:t>0.87</w:t>
            </w:r>
          </w:p>
        </w:tc>
        <w:tc>
          <w:tcPr>
            <w:tcW w:w="737" w:type="dxa"/>
            <w:tcBorders>
              <w:right w:val="single" w:sz="4" w:space="0" w:color="033636" w:themeColor="text2"/>
            </w:tcBorders>
            <w:tcMar>
              <w:top w:w="113" w:type="dxa"/>
              <w:left w:w="113" w:type="dxa"/>
              <w:bottom w:w="113" w:type="dxa"/>
              <w:right w:w="113" w:type="dxa"/>
            </w:tcMar>
            <w:vAlign w:val="center"/>
          </w:tcPr>
          <w:p w14:paraId="3CC523ED" w14:textId="77777777" w:rsidR="00AE09DE" w:rsidRPr="00AE09DE" w:rsidRDefault="00AE09DE" w:rsidP="001025DA">
            <w:pPr>
              <w:pStyle w:val="CDIFigure-Table-BodyTextCentre"/>
            </w:pPr>
            <w:r w:rsidRPr="00AE09DE">
              <w:t>0.04</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7200142F" w14:textId="77777777" w:rsidR="00AE09DE" w:rsidRPr="00AE09DE" w:rsidRDefault="00AE09DE" w:rsidP="001025DA">
            <w:pPr>
              <w:pStyle w:val="CDIFigure-Table-BodyTextCentre"/>
            </w:pPr>
            <w:r w:rsidRPr="00AE09DE">
              <w:t>0.15</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08134E28" w14:textId="77777777" w:rsidR="00AE09DE" w:rsidRPr="00AE09DE" w:rsidRDefault="00AE09DE" w:rsidP="001025DA">
            <w:pPr>
              <w:pStyle w:val="CDIFigure-Table-BodyTextCentre"/>
            </w:pPr>
            <w:r w:rsidRPr="00AE09DE">
              <w:t>0.07–0.33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7AA0A67" w14:textId="77777777" w:rsidR="00AE09DE" w:rsidRPr="00AE09DE" w:rsidRDefault="00AE09DE" w:rsidP="001025DA">
            <w:pPr>
              <w:pStyle w:val="CDIFigure-Table-BodyTextCentre"/>
            </w:pPr>
            <w:r w:rsidRPr="00AE09DE">
              <w:t>0.01</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015E0244" w14:textId="77777777" w:rsidR="00AE09DE" w:rsidRPr="00AE09DE" w:rsidRDefault="00AE09DE" w:rsidP="001025DA">
            <w:pPr>
              <w:pStyle w:val="CDIFigure-Table-BodyTextCentre"/>
            </w:pPr>
            <w:r w:rsidRPr="00AE09DE">
              <w:t>0.00–0.02</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0E898CF3" w14:textId="77777777" w:rsidR="00AE09DE" w:rsidRPr="00AE09DE" w:rsidRDefault="00AE09DE" w:rsidP="001025DA">
            <w:pPr>
              <w:pStyle w:val="CDIFigure-Table-BodyTextCentre"/>
            </w:pPr>
            <w:r w:rsidRPr="00AE09DE">
              <w:t>0.14</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4DF0FA21" w14:textId="77777777" w:rsidR="00AE09DE" w:rsidRPr="00AE09DE" w:rsidRDefault="00AE09DE" w:rsidP="001025DA">
            <w:pPr>
              <w:pStyle w:val="CDIFigure-Table-BodyTextCentre"/>
            </w:pPr>
            <w:r w:rsidRPr="00AE09DE">
              <w:t xml:space="preserve">0.08–0.27 </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30B89DA4" w14:textId="77777777" w:rsidR="00AE09DE" w:rsidRPr="00AE09DE" w:rsidRDefault="00AE09DE" w:rsidP="001025DA">
            <w:pPr>
              <w:pStyle w:val="CDIFigure-Table-BodyTextCentre"/>
            </w:pPr>
            <w:r w:rsidRPr="00AE09DE">
              <w:t>0.01</w:t>
            </w:r>
          </w:p>
        </w:tc>
        <w:tc>
          <w:tcPr>
            <w:tcW w:w="1020" w:type="dxa"/>
            <w:shd w:val="clear" w:color="auto" w:fill="93F9F9" w:themeFill="text2" w:themeFillTint="40"/>
            <w:tcMar>
              <w:top w:w="113" w:type="dxa"/>
              <w:left w:w="113" w:type="dxa"/>
              <w:bottom w:w="113" w:type="dxa"/>
              <w:right w:w="113" w:type="dxa"/>
            </w:tcMar>
            <w:vAlign w:val="center"/>
          </w:tcPr>
          <w:p w14:paraId="3584700D" w14:textId="77777777" w:rsidR="00AE09DE" w:rsidRPr="00AE09DE" w:rsidRDefault="00AE09DE" w:rsidP="001025DA">
            <w:pPr>
              <w:pStyle w:val="CDIFigure-Table-BodyTextCentre"/>
            </w:pPr>
            <w:r w:rsidRPr="00AE09DE">
              <w:t>0.00–0.02</w:t>
            </w:r>
          </w:p>
        </w:tc>
      </w:tr>
      <w:tr w:rsidR="008659EE" w:rsidRPr="00AE09DE" w14:paraId="33B858C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79B65D2D" w14:textId="77777777" w:rsidR="00AE09DE" w:rsidRPr="00AE09DE" w:rsidRDefault="00AE09DE" w:rsidP="00AE09DE"/>
        </w:tc>
        <w:tc>
          <w:tcPr>
            <w:tcW w:w="2891" w:type="dxa"/>
            <w:tcMar>
              <w:top w:w="113" w:type="dxa"/>
              <w:left w:w="113" w:type="dxa"/>
              <w:bottom w:w="113" w:type="dxa"/>
              <w:right w:w="113" w:type="dxa"/>
            </w:tcMar>
            <w:vAlign w:val="center"/>
          </w:tcPr>
          <w:p w14:paraId="64218274" w14:textId="77777777" w:rsidR="00AE09DE" w:rsidRPr="00AE09DE" w:rsidRDefault="00AE09DE" w:rsidP="001025DA">
            <w:pPr>
              <w:pStyle w:val="CDIFigure-Table-BodyTextLeft"/>
            </w:pPr>
            <w:r w:rsidRPr="00AE09DE">
              <w:t>Malaria</w:t>
            </w:r>
          </w:p>
        </w:tc>
        <w:tc>
          <w:tcPr>
            <w:tcW w:w="737" w:type="dxa"/>
            <w:tcMar>
              <w:top w:w="113" w:type="dxa"/>
              <w:left w:w="113" w:type="dxa"/>
              <w:bottom w:w="113" w:type="dxa"/>
              <w:right w:w="113" w:type="dxa"/>
            </w:tcMar>
            <w:vAlign w:val="center"/>
          </w:tcPr>
          <w:p w14:paraId="749686C3" w14:textId="77777777" w:rsidR="00AE09DE" w:rsidRPr="00AE09DE" w:rsidRDefault="00AE09DE" w:rsidP="001025DA">
            <w:pPr>
              <w:pStyle w:val="CDIFigure-Table-BodyTextCentre"/>
            </w:pPr>
            <w:r w:rsidRPr="00AE09DE">
              <w:t>1.48</w:t>
            </w:r>
          </w:p>
        </w:tc>
        <w:tc>
          <w:tcPr>
            <w:tcW w:w="794" w:type="dxa"/>
            <w:tcMar>
              <w:top w:w="113" w:type="dxa"/>
              <w:left w:w="113" w:type="dxa"/>
              <w:bottom w:w="113" w:type="dxa"/>
              <w:right w:w="113" w:type="dxa"/>
            </w:tcMar>
            <w:vAlign w:val="center"/>
          </w:tcPr>
          <w:p w14:paraId="4DBCD2E3" w14:textId="77777777" w:rsidR="00AE09DE" w:rsidRPr="00AE09DE" w:rsidRDefault="00AE09DE" w:rsidP="001025DA">
            <w:pPr>
              <w:pStyle w:val="CDIFigure-Table-BodyTextCentre"/>
            </w:pPr>
            <w:r w:rsidRPr="00AE09DE">
              <w:t>1.36</w:t>
            </w:r>
          </w:p>
        </w:tc>
        <w:tc>
          <w:tcPr>
            <w:tcW w:w="737" w:type="dxa"/>
            <w:tcMar>
              <w:top w:w="113" w:type="dxa"/>
              <w:left w:w="113" w:type="dxa"/>
              <w:bottom w:w="113" w:type="dxa"/>
              <w:right w:w="113" w:type="dxa"/>
            </w:tcMar>
            <w:vAlign w:val="center"/>
          </w:tcPr>
          <w:p w14:paraId="5FF3259B" w14:textId="77777777" w:rsidR="00AE09DE" w:rsidRPr="00AE09DE" w:rsidRDefault="00AE09DE" w:rsidP="001025DA">
            <w:pPr>
              <w:pStyle w:val="CDIFigure-Table-BodyTextCentre"/>
            </w:pPr>
            <w:r w:rsidRPr="00AE09DE">
              <w:t>0.62</w:t>
            </w:r>
          </w:p>
        </w:tc>
        <w:tc>
          <w:tcPr>
            <w:tcW w:w="737" w:type="dxa"/>
            <w:tcBorders>
              <w:right w:val="single" w:sz="4" w:space="0" w:color="033636" w:themeColor="text2"/>
            </w:tcBorders>
            <w:tcMar>
              <w:top w:w="113" w:type="dxa"/>
              <w:left w:w="113" w:type="dxa"/>
              <w:bottom w:w="113" w:type="dxa"/>
              <w:right w:w="113" w:type="dxa"/>
            </w:tcMar>
            <w:vAlign w:val="center"/>
          </w:tcPr>
          <w:p w14:paraId="0DF68EAB" w14:textId="77777777" w:rsidR="00AE09DE" w:rsidRPr="00AE09DE" w:rsidRDefault="00AE09DE" w:rsidP="001025DA">
            <w:pPr>
              <w:pStyle w:val="CDIFigure-Table-BodyTextCentre"/>
            </w:pPr>
            <w:r w:rsidRPr="00AE09DE">
              <w:t>0.22</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6CBE40D" w14:textId="77777777" w:rsidR="00AE09DE" w:rsidRPr="00AE09DE" w:rsidRDefault="00AE09DE" w:rsidP="001025DA">
            <w:pPr>
              <w:pStyle w:val="CDIFigure-Table-BodyTextCentre"/>
            </w:pPr>
            <w:r w:rsidRPr="00AE09DE">
              <w:t>0.41</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16F8ADD4" w14:textId="77777777" w:rsidR="00AE09DE" w:rsidRPr="00AE09DE" w:rsidRDefault="00AE09DE" w:rsidP="001025DA">
            <w:pPr>
              <w:pStyle w:val="CDIFigure-Table-BodyTextCentre"/>
            </w:pPr>
            <w:r w:rsidRPr="00AE09DE">
              <w:t>0.27–0.63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5D314F18" w14:textId="77777777" w:rsidR="00AE09DE" w:rsidRPr="00AE09DE" w:rsidRDefault="00AE09DE" w:rsidP="001025DA">
            <w:pPr>
              <w:pStyle w:val="CDIFigure-Table-BodyTextCentre"/>
            </w:pPr>
            <w:r w:rsidRPr="00AE09DE">
              <w:t>0.15</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47B42495" w14:textId="77777777" w:rsidR="00AE09DE" w:rsidRPr="00AE09DE" w:rsidRDefault="00AE09DE" w:rsidP="001025DA">
            <w:pPr>
              <w:pStyle w:val="CDIFigure-Table-BodyTextCentre"/>
            </w:pPr>
            <w:r w:rsidRPr="00AE09DE">
              <w:t>0.09–0.24</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4EC524D" w14:textId="77777777" w:rsidR="00AE09DE" w:rsidRPr="00AE09DE" w:rsidRDefault="00AE09DE" w:rsidP="001025DA">
            <w:pPr>
              <w:pStyle w:val="CDIFigure-Table-BodyTextCentre"/>
            </w:pPr>
            <w:r w:rsidRPr="00AE09DE">
              <w:t>0.45</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91E3C92" w14:textId="77777777" w:rsidR="00AE09DE" w:rsidRPr="00AE09DE" w:rsidRDefault="00AE09DE" w:rsidP="001025DA">
            <w:pPr>
              <w:pStyle w:val="CDIFigure-Table-BodyTextCentre"/>
            </w:pPr>
            <w:r w:rsidRPr="00AE09DE">
              <w:t>0.32–0.64</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78069CC1" w14:textId="77777777" w:rsidR="00AE09DE" w:rsidRPr="00AE09DE" w:rsidRDefault="00AE09DE" w:rsidP="001025DA">
            <w:pPr>
              <w:pStyle w:val="CDIFigure-Table-BodyTextCentre"/>
            </w:pPr>
            <w:r w:rsidRPr="00AE09DE">
              <w:t>0.16</w:t>
            </w:r>
          </w:p>
        </w:tc>
        <w:tc>
          <w:tcPr>
            <w:tcW w:w="1020" w:type="dxa"/>
            <w:shd w:val="clear" w:color="auto" w:fill="93F9F9" w:themeFill="text2" w:themeFillTint="40"/>
            <w:tcMar>
              <w:top w:w="113" w:type="dxa"/>
              <w:left w:w="113" w:type="dxa"/>
              <w:bottom w:w="113" w:type="dxa"/>
              <w:right w:w="113" w:type="dxa"/>
            </w:tcMar>
            <w:vAlign w:val="center"/>
          </w:tcPr>
          <w:p w14:paraId="30B891A6" w14:textId="77777777" w:rsidR="00AE09DE" w:rsidRPr="00AE09DE" w:rsidRDefault="00AE09DE" w:rsidP="001025DA">
            <w:pPr>
              <w:pStyle w:val="CDIFigure-Table-BodyTextCentre"/>
            </w:pPr>
            <w:r w:rsidRPr="00AE09DE">
              <w:t>0.11–0.24</w:t>
            </w:r>
          </w:p>
        </w:tc>
      </w:tr>
      <w:tr w:rsidR="00554FA2" w:rsidRPr="00AE09DE" w14:paraId="06BECA6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231E0F2" w14:textId="77777777" w:rsidR="00AE09DE" w:rsidRPr="00AE09DE" w:rsidRDefault="00AE09DE" w:rsidP="00AE09DE"/>
        </w:tc>
        <w:tc>
          <w:tcPr>
            <w:tcW w:w="2891" w:type="dxa"/>
            <w:tcBorders>
              <w:bottom w:val="single" w:sz="4" w:space="0" w:color="033636" w:themeColor="text2"/>
            </w:tcBorders>
            <w:tcMar>
              <w:top w:w="113" w:type="dxa"/>
              <w:left w:w="113" w:type="dxa"/>
              <w:bottom w:w="113" w:type="dxa"/>
              <w:right w:w="113" w:type="dxa"/>
            </w:tcMar>
            <w:vAlign w:val="center"/>
          </w:tcPr>
          <w:p w14:paraId="0E8F6EEC" w14:textId="77777777" w:rsidR="00AE09DE" w:rsidRPr="00AE09DE" w:rsidRDefault="00AE09DE" w:rsidP="001025DA">
            <w:pPr>
              <w:pStyle w:val="CDIFigure-Table-BodyTextLeft"/>
            </w:pPr>
            <w:r w:rsidRPr="00AE09DE">
              <w:t>Ross River virus infection</w:t>
            </w:r>
          </w:p>
        </w:tc>
        <w:tc>
          <w:tcPr>
            <w:tcW w:w="737" w:type="dxa"/>
            <w:tcBorders>
              <w:bottom w:val="single" w:sz="4" w:space="0" w:color="033636" w:themeColor="text2"/>
            </w:tcBorders>
            <w:tcMar>
              <w:top w:w="113" w:type="dxa"/>
              <w:left w:w="113" w:type="dxa"/>
              <w:bottom w:w="113" w:type="dxa"/>
              <w:right w:w="113" w:type="dxa"/>
            </w:tcMar>
            <w:vAlign w:val="center"/>
          </w:tcPr>
          <w:p w14:paraId="2F9F0065" w14:textId="77777777" w:rsidR="00AE09DE" w:rsidRPr="00AE09DE" w:rsidRDefault="00AE09DE" w:rsidP="001025DA">
            <w:pPr>
              <w:pStyle w:val="CDIFigure-Table-BodyTextCentre"/>
            </w:pPr>
            <w:r w:rsidRPr="00AE09DE">
              <w:t>12</w:t>
            </w:r>
          </w:p>
        </w:tc>
        <w:tc>
          <w:tcPr>
            <w:tcW w:w="794" w:type="dxa"/>
            <w:tcBorders>
              <w:bottom w:val="single" w:sz="4" w:space="0" w:color="033636" w:themeColor="text2"/>
            </w:tcBorders>
            <w:tcMar>
              <w:top w:w="113" w:type="dxa"/>
              <w:left w:w="113" w:type="dxa"/>
              <w:bottom w:w="113" w:type="dxa"/>
              <w:right w:w="113" w:type="dxa"/>
            </w:tcMar>
            <w:vAlign w:val="center"/>
          </w:tcPr>
          <w:p w14:paraId="01DEE010" w14:textId="77777777" w:rsidR="00AE09DE" w:rsidRPr="00AE09DE" w:rsidRDefault="00AE09DE" w:rsidP="001025DA">
            <w:pPr>
              <w:pStyle w:val="CDIFigure-Table-BodyTextCentre"/>
            </w:pPr>
            <w:r w:rsidRPr="00AE09DE">
              <w:t>21</w:t>
            </w:r>
          </w:p>
        </w:tc>
        <w:tc>
          <w:tcPr>
            <w:tcW w:w="737" w:type="dxa"/>
            <w:tcBorders>
              <w:bottom w:val="single" w:sz="4" w:space="0" w:color="033636" w:themeColor="text2"/>
            </w:tcBorders>
            <w:tcMar>
              <w:top w:w="113" w:type="dxa"/>
              <w:left w:w="113" w:type="dxa"/>
              <w:bottom w:w="113" w:type="dxa"/>
              <w:right w:w="113" w:type="dxa"/>
            </w:tcMar>
            <w:vAlign w:val="center"/>
          </w:tcPr>
          <w:p w14:paraId="5E467038" w14:textId="77777777" w:rsidR="00AE09DE" w:rsidRPr="00AE09DE" w:rsidRDefault="00AE09DE" w:rsidP="001025DA">
            <w:pPr>
              <w:pStyle w:val="CDIFigure-Table-BodyTextCentre"/>
            </w:pPr>
            <w:r w:rsidRPr="00AE09DE">
              <w:t>25</w:t>
            </w:r>
          </w:p>
        </w:tc>
        <w:tc>
          <w:tcPr>
            <w:tcW w:w="737"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F4C0D34" w14:textId="77777777" w:rsidR="00AE09DE" w:rsidRPr="00AE09DE" w:rsidRDefault="00AE09DE" w:rsidP="001025DA">
            <w:pPr>
              <w:pStyle w:val="CDIFigure-Table-BodyTextCentre"/>
            </w:pPr>
            <w:r w:rsidRPr="00AE09DE">
              <w:t>12</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33A37436" w14:textId="77777777" w:rsidR="00AE09DE" w:rsidRPr="00AE09DE" w:rsidRDefault="00AE09DE" w:rsidP="001025DA">
            <w:pPr>
              <w:pStyle w:val="CDIFigure-Table-BodyTextCentre"/>
            </w:pPr>
            <w:r w:rsidRPr="00AE09DE">
              <w:t>2.12</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0ADF9CF" w14:textId="77777777" w:rsidR="00AE09DE" w:rsidRPr="00AE09DE" w:rsidRDefault="00AE09DE" w:rsidP="001025DA">
            <w:pPr>
              <w:pStyle w:val="CDIFigure-Table-BodyTextCentre"/>
            </w:pPr>
            <w:r w:rsidRPr="00AE09DE">
              <w:t>0.80–5.58</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4D554AE6" w14:textId="77777777" w:rsidR="00AE09DE" w:rsidRPr="00AE09DE" w:rsidRDefault="00AE09DE" w:rsidP="001025DA">
            <w:pPr>
              <w:pStyle w:val="CDIFigure-Table-BodyTextCentre"/>
            </w:pPr>
            <w:r w:rsidRPr="00AE09DE">
              <w:t>1.03</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C272515" w14:textId="77777777" w:rsidR="00AE09DE" w:rsidRPr="00AE09DE" w:rsidRDefault="00AE09DE" w:rsidP="001025DA">
            <w:pPr>
              <w:pStyle w:val="CDIFigure-Table-BodyTextCentre"/>
            </w:pPr>
            <w:r w:rsidRPr="00AE09DE">
              <w:t>0.39–2.72</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4C67410" w14:textId="77777777" w:rsidR="00AE09DE" w:rsidRPr="00AE09DE" w:rsidRDefault="00AE09DE" w:rsidP="001025DA">
            <w:pPr>
              <w:pStyle w:val="CDIFigure-Table-BodyTextCentre"/>
            </w:pPr>
            <w:r w:rsidRPr="00AE09DE">
              <w:t>1.15</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C5F770F" w14:textId="77777777" w:rsidR="00AE09DE" w:rsidRPr="00AE09DE" w:rsidRDefault="00AE09DE" w:rsidP="001025DA">
            <w:pPr>
              <w:pStyle w:val="CDIFigure-Table-BodyTextCentre"/>
            </w:pPr>
            <w:r w:rsidRPr="00AE09DE">
              <w:t>0.47–2.79</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5674DD8" w14:textId="77777777" w:rsidR="00AE09DE" w:rsidRPr="00AE09DE" w:rsidRDefault="00AE09DE" w:rsidP="001025DA">
            <w:pPr>
              <w:pStyle w:val="CDIFigure-Table-BodyTextCentre"/>
            </w:pPr>
            <w:r w:rsidRPr="00AE09DE">
              <w:t>0.56</w:t>
            </w:r>
          </w:p>
        </w:tc>
        <w:tc>
          <w:tcPr>
            <w:tcW w:w="1020" w:type="dxa"/>
            <w:tcBorders>
              <w:bottom w:val="single" w:sz="4" w:space="0" w:color="033636" w:themeColor="text2"/>
            </w:tcBorders>
            <w:tcMar>
              <w:top w:w="113" w:type="dxa"/>
              <w:left w:w="113" w:type="dxa"/>
              <w:bottom w:w="113" w:type="dxa"/>
              <w:right w:w="113" w:type="dxa"/>
            </w:tcMar>
            <w:vAlign w:val="center"/>
          </w:tcPr>
          <w:p w14:paraId="472237AD" w14:textId="77777777" w:rsidR="00AE09DE" w:rsidRPr="00AE09DE" w:rsidRDefault="00AE09DE" w:rsidP="001025DA">
            <w:pPr>
              <w:pStyle w:val="CDIFigure-Table-BodyTextCentre"/>
            </w:pPr>
            <w:r w:rsidRPr="00AE09DE">
              <w:t>0.23–1.36</w:t>
            </w:r>
          </w:p>
        </w:tc>
      </w:tr>
      <w:tr w:rsidR="00913BE8" w:rsidRPr="00AE09DE" w14:paraId="3AB7A4CE" w14:textId="77777777" w:rsidTr="00554FA2">
        <w:trPr>
          <w:divId w:val="935526654"/>
          <w:trHeight w:val="20"/>
        </w:trPr>
        <w:tc>
          <w:tcPr>
            <w:tcW w:w="1474"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66BF9B" w14:textId="77777777" w:rsidR="00913BE8" w:rsidRPr="00AE09DE" w:rsidRDefault="00913BE8" w:rsidP="001025DA">
            <w:pPr>
              <w:pStyle w:val="CDIFigure-Table-BodyTextLeft"/>
            </w:pPr>
            <w:r w:rsidRPr="00AE09DE">
              <w:t>Vaccine preventable diseases</w:t>
            </w:r>
          </w:p>
        </w:tc>
        <w:tc>
          <w:tcPr>
            <w:tcW w:w="2891" w:type="dxa"/>
            <w:tcBorders>
              <w:top w:val="single" w:sz="4" w:space="0" w:color="033636" w:themeColor="text2"/>
            </w:tcBorders>
            <w:tcMar>
              <w:top w:w="113" w:type="dxa"/>
              <w:left w:w="113" w:type="dxa"/>
              <w:bottom w:w="113" w:type="dxa"/>
              <w:right w:w="113" w:type="dxa"/>
            </w:tcMar>
            <w:vAlign w:val="center"/>
          </w:tcPr>
          <w:p w14:paraId="60D18B60" w14:textId="77777777" w:rsidR="00913BE8" w:rsidRPr="00AE09DE" w:rsidRDefault="00913BE8" w:rsidP="001025DA">
            <w:pPr>
              <w:pStyle w:val="CDIFigure-Table-BodyTextLeft"/>
            </w:pPr>
            <w:r w:rsidRPr="00263EAD">
              <w:rPr>
                <w:i/>
                <w:iCs/>
              </w:rPr>
              <w:t>Haemophilus influenzae</w:t>
            </w:r>
            <w:r w:rsidRPr="00AE09DE">
              <w:t xml:space="preserve"> type b</w:t>
            </w:r>
          </w:p>
        </w:tc>
        <w:tc>
          <w:tcPr>
            <w:tcW w:w="737" w:type="dxa"/>
            <w:tcBorders>
              <w:top w:val="single" w:sz="4" w:space="0" w:color="033636" w:themeColor="text2"/>
            </w:tcBorders>
            <w:tcMar>
              <w:top w:w="113" w:type="dxa"/>
              <w:left w:w="113" w:type="dxa"/>
              <w:bottom w:w="113" w:type="dxa"/>
              <w:right w:w="113" w:type="dxa"/>
            </w:tcMar>
            <w:vAlign w:val="center"/>
          </w:tcPr>
          <w:p w14:paraId="61DCDB8F" w14:textId="77777777" w:rsidR="00913BE8" w:rsidRPr="00AE09DE" w:rsidRDefault="00913BE8" w:rsidP="001025DA">
            <w:pPr>
              <w:pStyle w:val="CDIFigure-Table-BodyTextCentre"/>
            </w:pPr>
            <w:r w:rsidRPr="00AE09DE">
              <w:t>0.09</w:t>
            </w:r>
          </w:p>
        </w:tc>
        <w:tc>
          <w:tcPr>
            <w:tcW w:w="794" w:type="dxa"/>
            <w:tcBorders>
              <w:top w:val="single" w:sz="4" w:space="0" w:color="033636" w:themeColor="text2"/>
            </w:tcBorders>
            <w:tcMar>
              <w:top w:w="113" w:type="dxa"/>
              <w:left w:w="113" w:type="dxa"/>
              <w:bottom w:w="113" w:type="dxa"/>
              <w:right w:w="113" w:type="dxa"/>
            </w:tcMar>
            <w:vAlign w:val="center"/>
          </w:tcPr>
          <w:p w14:paraId="70DFD630" w14:textId="77777777" w:rsidR="00913BE8" w:rsidRPr="00AE09DE" w:rsidRDefault="00913BE8" w:rsidP="001025DA">
            <w:pPr>
              <w:pStyle w:val="CDIFigure-Table-BodyTextCentre"/>
            </w:pPr>
            <w:r w:rsidRPr="00AE09DE">
              <w:t>0.07</w:t>
            </w:r>
          </w:p>
        </w:tc>
        <w:tc>
          <w:tcPr>
            <w:tcW w:w="737" w:type="dxa"/>
            <w:tcBorders>
              <w:top w:val="single" w:sz="4" w:space="0" w:color="033636" w:themeColor="text2"/>
            </w:tcBorders>
            <w:tcMar>
              <w:top w:w="113" w:type="dxa"/>
              <w:left w:w="113" w:type="dxa"/>
              <w:bottom w:w="113" w:type="dxa"/>
              <w:right w:w="113" w:type="dxa"/>
            </w:tcMar>
            <w:vAlign w:val="center"/>
          </w:tcPr>
          <w:p w14:paraId="5628D617" w14:textId="77777777" w:rsidR="00913BE8" w:rsidRPr="00AE09DE" w:rsidRDefault="00913BE8" w:rsidP="001025DA">
            <w:pPr>
              <w:pStyle w:val="CDIFigure-Table-BodyTextCentre"/>
            </w:pPr>
            <w:r w:rsidRPr="00AE09DE">
              <w:t>0.07</w:t>
            </w:r>
          </w:p>
        </w:tc>
        <w:tc>
          <w:tcPr>
            <w:tcW w:w="737"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7AA047F" w14:textId="77777777" w:rsidR="00913BE8" w:rsidRPr="00AE09DE" w:rsidRDefault="00913BE8" w:rsidP="001025DA">
            <w:pPr>
              <w:pStyle w:val="CDIFigure-Table-BodyTextCentre"/>
            </w:pPr>
            <w:r w:rsidRPr="00AE09DE">
              <w:t>0.07</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07B7BAA" w14:textId="77777777" w:rsidR="00913BE8" w:rsidRPr="00AE09DE" w:rsidRDefault="00913BE8" w:rsidP="001025DA">
            <w:pPr>
              <w:pStyle w:val="CDIFigure-Table-BodyTextCentre"/>
            </w:pPr>
            <w:r w:rsidRPr="00AE09DE">
              <w:t>0.86</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C440898" w14:textId="77777777" w:rsidR="00913BE8" w:rsidRPr="00AE09DE" w:rsidRDefault="00913BE8" w:rsidP="001025DA">
            <w:pPr>
              <w:pStyle w:val="CDIFigure-Table-BodyTextCentre"/>
            </w:pPr>
            <w:r w:rsidRPr="00AE09DE">
              <w:t>0.47–1.59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90A6EE8" w14:textId="77777777" w:rsidR="00913BE8" w:rsidRPr="00AE09DE" w:rsidRDefault="00913BE8" w:rsidP="001025DA">
            <w:pPr>
              <w:pStyle w:val="CDIFigure-Table-BodyTextCentre"/>
            </w:pPr>
            <w:r w:rsidRPr="00AE09DE">
              <w:t>0.81</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304DA342" w14:textId="77777777" w:rsidR="00913BE8" w:rsidRPr="00AE09DE" w:rsidRDefault="00913BE8" w:rsidP="001025DA">
            <w:pPr>
              <w:pStyle w:val="CDIFigure-Table-BodyTextCentre"/>
            </w:pPr>
            <w:r w:rsidRPr="00AE09DE">
              <w:t>0.44–1.51</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D7CE0D0" w14:textId="77777777" w:rsidR="00913BE8" w:rsidRPr="00AE09DE" w:rsidRDefault="00913BE8" w:rsidP="001025DA">
            <w:pPr>
              <w:pStyle w:val="CDIFigure-Table-BodyTextCentre"/>
            </w:pPr>
            <w:r w:rsidRPr="00AE09DE">
              <w:t>1.03</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2AC94A21" w14:textId="77777777" w:rsidR="00913BE8" w:rsidRPr="00AE09DE" w:rsidRDefault="00913BE8" w:rsidP="001025DA">
            <w:pPr>
              <w:pStyle w:val="CDIFigure-Table-BodyTextCentre"/>
            </w:pPr>
            <w:r w:rsidRPr="00AE09DE">
              <w:t>0.63–1.69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72DA12B" w14:textId="77777777" w:rsidR="00913BE8" w:rsidRPr="00AE09DE" w:rsidRDefault="00913BE8" w:rsidP="001025DA">
            <w:pPr>
              <w:pStyle w:val="CDIFigure-Table-BodyTextCentre"/>
            </w:pPr>
            <w:r w:rsidRPr="00AE09DE">
              <w:t>0.97</w:t>
            </w:r>
          </w:p>
        </w:tc>
        <w:tc>
          <w:tcPr>
            <w:tcW w:w="1020" w:type="dxa"/>
            <w:tcBorders>
              <w:top w:val="single" w:sz="4" w:space="0" w:color="033636" w:themeColor="text2"/>
            </w:tcBorders>
            <w:tcMar>
              <w:top w:w="113" w:type="dxa"/>
              <w:left w:w="113" w:type="dxa"/>
              <w:bottom w:w="113" w:type="dxa"/>
              <w:right w:w="113" w:type="dxa"/>
            </w:tcMar>
            <w:vAlign w:val="center"/>
          </w:tcPr>
          <w:p w14:paraId="7C8CA58A" w14:textId="77777777" w:rsidR="00913BE8" w:rsidRPr="00AE09DE" w:rsidRDefault="00913BE8" w:rsidP="001025DA">
            <w:pPr>
              <w:pStyle w:val="CDIFigure-Table-BodyTextCentre"/>
            </w:pPr>
            <w:r w:rsidRPr="00AE09DE">
              <w:t>0.59–1.62</w:t>
            </w:r>
          </w:p>
        </w:tc>
      </w:tr>
      <w:tr w:rsidR="00913BE8" w:rsidRPr="00AE09DE" w14:paraId="12DCD695" w14:textId="77777777" w:rsidTr="00554FA2">
        <w:trPr>
          <w:divId w:val="935526654"/>
          <w:trHeight w:val="20"/>
        </w:trPr>
        <w:tc>
          <w:tcPr>
            <w:tcW w:w="1474" w:type="dxa"/>
            <w:vMerge/>
            <w:shd w:val="clear" w:color="auto" w:fill="C5FFEF" w:themeFill="background2" w:themeFillTint="33"/>
          </w:tcPr>
          <w:p w14:paraId="323A4E79"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01E1576B" w14:textId="77777777" w:rsidR="00913BE8" w:rsidRPr="00AE09DE" w:rsidRDefault="00913BE8" w:rsidP="001025DA">
            <w:pPr>
              <w:pStyle w:val="CDIFigure-Table-BodyTextLeft"/>
            </w:pPr>
            <w:r w:rsidRPr="00AE09DE">
              <w:t>Influenza (laboratory confirmed)</w:t>
            </w:r>
          </w:p>
        </w:tc>
        <w:tc>
          <w:tcPr>
            <w:tcW w:w="737" w:type="dxa"/>
            <w:tcMar>
              <w:top w:w="113" w:type="dxa"/>
              <w:left w:w="113" w:type="dxa"/>
              <w:bottom w:w="113" w:type="dxa"/>
              <w:right w:w="113" w:type="dxa"/>
            </w:tcMar>
            <w:vAlign w:val="center"/>
          </w:tcPr>
          <w:p w14:paraId="3CE36715" w14:textId="77777777" w:rsidR="00913BE8" w:rsidRPr="00AE09DE" w:rsidRDefault="00913BE8" w:rsidP="001025DA">
            <w:pPr>
              <w:pStyle w:val="CDIFigure-Table-BodyTextCentre"/>
            </w:pPr>
            <w:r w:rsidRPr="00AE09DE">
              <w:t>1226</w:t>
            </w:r>
          </w:p>
        </w:tc>
        <w:tc>
          <w:tcPr>
            <w:tcW w:w="794" w:type="dxa"/>
            <w:tcMar>
              <w:top w:w="113" w:type="dxa"/>
              <w:left w:w="113" w:type="dxa"/>
              <w:bottom w:w="113" w:type="dxa"/>
              <w:right w:w="113" w:type="dxa"/>
            </w:tcMar>
            <w:vAlign w:val="center"/>
          </w:tcPr>
          <w:p w14:paraId="7AF667D8" w14:textId="77777777" w:rsidR="00913BE8" w:rsidRPr="00AE09DE" w:rsidRDefault="00913BE8" w:rsidP="001025DA">
            <w:pPr>
              <w:pStyle w:val="CDIFigure-Table-BodyTextCentre"/>
            </w:pPr>
            <w:r w:rsidRPr="00AE09DE">
              <w:t>653</w:t>
            </w:r>
          </w:p>
        </w:tc>
        <w:tc>
          <w:tcPr>
            <w:tcW w:w="737" w:type="dxa"/>
            <w:tcMar>
              <w:top w:w="113" w:type="dxa"/>
              <w:left w:w="113" w:type="dxa"/>
              <w:bottom w:w="113" w:type="dxa"/>
              <w:right w:w="113" w:type="dxa"/>
            </w:tcMar>
            <w:vAlign w:val="center"/>
          </w:tcPr>
          <w:p w14:paraId="59FACACB" w14:textId="77777777" w:rsidR="00913BE8" w:rsidRPr="00AE09DE" w:rsidRDefault="00913BE8" w:rsidP="001025DA">
            <w:pPr>
              <w:pStyle w:val="CDIFigure-Table-BodyTextCentre"/>
            </w:pPr>
            <w:r w:rsidRPr="00AE09DE">
              <w:t>83</w:t>
            </w:r>
          </w:p>
        </w:tc>
        <w:tc>
          <w:tcPr>
            <w:tcW w:w="737" w:type="dxa"/>
            <w:tcBorders>
              <w:right w:val="single" w:sz="4" w:space="0" w:color="033636" w:themeColor="text2"/>
            </w:tcBorders>
            <w:tcMar>
              <w:top w:w="113" w:type="dxa"/>
              <w:left w:w="113" w:type="dxa"/>
              <w:bottom w:w="113" w:type="dxa"/>
              <w:right w:w="113" w:type="dxa"/>
            </w:tcMar>
            <w:vAlign w:val="center"/>
          </w:tcPr>
          <w:p w14:paraId="0542BB5F" w14:textId="77777777" w:rsidR="00913BE8" w:rsidRPr="00AE09DE" w:rsidRDefault="00913BE8" w:rsidP="001025DA">
            <w:pPr>
              <w:pStyle w:val="CDIFigure-Table-BodyTextCentre"/>
            </w:pPr>
            <w:r w:rsidRPr="00AE09DE">
              <w:t>2.93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C1AD505" w14:textId="77777777" w:rsidR="00913BE8" w:rsidRPr="00AE09DE" w:rsidRDefault="00913BE8" w:rsidP="001025DA">
            <w:pPr>
              <w:pStyle w:val="CDIFigure-Table-BodyTextCentre"/>
            </w:pPr>
            <w:r w:rsidRPr="00AE09DE">
              <w:t>0.07</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C6B12C8" w14:textId="77777777" w:rsidR="00913BE8" w:rsidRPr="00AE09DE" w:rsidRDefault="00913BE8" w:rsidP="001025DA">
            <w:pPr>
              <w:pStyle w:val="CDIFigure-Table-BodyTextCentre"/>
            </w:pPr>
            <w:r w:rsidRPr="00AE09DE">
              <w:t>0.02–0.21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2BC6723" w14:textId="77777777" w:rsidR="00913BE8" w:rsidRPr="00AE09DE" w:rsidRDefault="00913BE8" w:rsidP="001025DA">
            <w:pPr>
              <w:pStyle w:val="CDIFigure-Table-BodyTextCentre"/>
            </w:pPr>
            <w:r w:rsidRPr="00AE09DE">
              <w:t>0.002</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0CD7371" w14:textId="77777777" w:rsidR="00913BE8" w:rsidRPr="00AE09DE" w:rsidRDefault="00913BE8" w:rsidP="001025DA">
            <w:pPr>
              <w:pStyle w:val="CDIFigure-Table-BodyTextCentre"/>
            </w:pPr>
            <w:r w:rsidRPr="00AE09DE">
              <w:t>0.00–0.01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4D2AC10" w14:textId="77777777" w:rsidR="00913BE8" w:rsidRPr="00AE09DE" w:rsidRDefault="00913BE8" w:rsidP="001025DA">
            <w:pPr>
              <w:pStyle w:val="CDIFigure-Table-BodyTextCentre"/>
            </w:pPr>
            <w:r w:rsidRPr="00AE09DE">
              <w:t>0.13</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11FBEDF" w14:textId="77777777" w:rsidR="00913BE8" w:rsidRPr="00AE09DE" w:rsidRDefault="00913BE8" w:rsidP="001025DA">
            <w:pPr>
              <w:pStyle w:val="CDIFigure-Table-BodyTextCentre"/>
            </w:pPr>
            <w:r w:rsidRPr="00AE09DE">
              <w:t>0.04–0.38</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9EA61C8" w14:textId="77777777" w:rsidR="00913BE8" w:rsidRPr="00AE09DE" w:rsidRDefault="00913BE8" w:rsidP="001025DA">
            <w:pPr>
              <w:pStyle w:val="CDIFigure-Table-BodyTextCentre"/>
            </w:pPr>
            <w:r w:rsidRPr="00AE09DE">
              <w:t>0.004</w:t>
            </w:r>
          </w:p>
        </w:tc>
        <w:tc>
          <w:tcPr>
            <w:tcW w:w="1020" w:type="dxa"/>
            <w:shd w:val="clear" w:color="auto" w:fill="93F9F9" w:themeFill="text2" w:themeFillTint="40"/>
            <w:tcMar>
              <w:top w:w="113" w:type="dxa"/>
              <w:left w:w="113" w:type="dxa"/>
              <w:bottom w:w="113" w:type="dxa"/>
              <w:right w:w="113" w:type="dxa"/>
            </w:tcMar>
            <w:vAlign w:val="center"/>
          </w:tcPr>
          <w:p w14:paraId="4FB5F74B" w14:textId="77777777" w:rsidR="00913BE8" w:rsidRPr="00AE09DE" w:rsidRDefault="00913BE8" w:rsidP="001025DA">
            <w:pPr>
              <w:pStyle w:val="CDIFigure-Table-BodyTextCentre"/>
            </w:pPr>
            <w:r w:rsidRPr="00AE09DE">
              <w:t>0.00–0.01</w:t>
            </w:r>
          </w:p>
        </w:tc>
      </w:tr>
      <w:tr w:rsidR="00913BE8" w:rsidRPr="00AE09DE" w14:paraId="36CB7EB1" w14:textId="77777777" w:rsidTr="00554FA2">
        <w:trPr>
          <w:divId w:val="935526654"/>
          <w:trHeight w:val="20"/>
        </w:trPr>
        <w:tc>
          <w:tcPr>
            <w:tcW w:w="1474" w:type="dxa"/>
            <w:vMerge/>
            <w:shd w:val="clear" w:color="auto" w:fill="C5FFEF" w:themeFill="background2" w:themeFillTint="33"/>
          </w:tcPr>
          <w:p w14:paraId="3D20DFE8"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313A8F97" w14:textId="77777777" w:rsidR="00913BE8" w:rsidRPr="00AE09DE" w:rsidRDefault="00913BE8" w:rsidP="001025DA">
            <w:pPr>
              <w:pStyle w:val="CDIFigure-Table-BodyTextLeft"/>
            </w:pPr>
            <w:r w:rsidRPr="00AE09DE">
              <w:t>Mumps</w:t>
            </w:r>
          </w:p>
        </w:tc>
        <w:tc>
          <w:tcPr>
            <w:tcW w:w="737" w:type="dxa"/>
            <w:tcMar>
              <w:top w:w="113" w:type="dxa"/>
              <w:left w:w="113" w:type="dxa"/>
              <w:bottom w:w="113" w:type="dxa"/>
              <w:right w:w="113" w:type="dxa"/>
            </w:tcMar>
            <w:vAlign w:val="center"/>
          </w:tcPr>
          <w:p w14:paraId="2EA35232" w14:textId="77777777" w:rsidR="00913BE8" w:rsidRPr="00AE09DE" w:rsidRDefault="00913BE8" w:rsidP="001025DA">
            <w:pPr>
              <w:pStyle w:val="CDIFigure-Table-BodyTextCentre"/>
            </w:pPr>
            <w:r w:rsidRPr="00AE09DE">
              <w:t>0.67</w:t>
            </w:r>
          </w:p>
        </w:tc>
        <w:tc>
          <w:tcPr>
            <w:tcW w:w="794" w:type="dxa"/>
            <w:tcMar>
              <w:top w:w="113" w:type="dxa"/>
              <w:left w:w="113" w:type="dxa"/>
              <w:bottom w:w="113" w:type="dxa"/>
              <w:right w:w="113" w:type="dxa"/>
            </w:tcMar>
            <w:vAlign w:val="center"/>
          </w:tcPr>
          <w:p w14:paraId="4A9526CC" w14:textId="77777777" w:rsidR="00913BE8" w:rsidRPr="00AE09DE" w:rsidRDefault="00913BE8" w:rsidP="001025DA">
            <w:pPr>
              <w:pStyle w:val="CDIFigure-Table-BodyTextCentre"/>
            </w:pPr>
            <w:r w:rsidRPr="00AE09DE">
              <w:t>2.49</w:t>
            </w:r>
          </w:p>
        </w:tc>
        <w:tc>
          <w:tcPr>
            <w:tcW w:w="737" w:type="dxa"/>
            <w:tcMar>
              <w:top w:w="113" w:type="dxa"/>
              <w:left w:w="113" w:type="dxa"/>
              <w:bottom w:w="113" w:type="dxa"/>
              <w:right w:w="113" w:type="dxa"/>
            </w:tcMar>
            <w:vAlign w:val="center"/>
          </w:tcPr>
          <w:p w14:paraId="56FE49C2" w14:textId="77777777" w:rsidR="00913BE8" w:rsidRPr="00AE09DE" w:rsidRDefault="00913BE8" w:rsidP="001025DA">
            <w:pPr>
              <w:pStyle w:val="CDIFigure-Table-BodyTextCentre"/>
            </w:pPr>
            <w:r w:rsidRPr="00AE09DE">
              <w:t>0.59</w:t>
            </w:r>
          </w:p>
        </w:tc>
        <w:tc>
          <w:tcPr>
            <w:tcW w:w="737" w:type="dxa"/>
            <w:tcBorders>
              <w:right w:val="single" w:sz="4" w:space="0" w:color="033636" w:themeColor="text2"/>
            </w:tcBorders>
            <w:tcMar>
              <w:top w:w="113" w:type="dxa"/>
              <w:left w:w="113" w:type="dxa"/>
              <w:bottom w:w="113" w:type="dxa"/>
              <w:right w:w="113" w:type="dxa"/>
            </w:tcMar>
            <w:vAlign w:val="center"/>
          </w:tcPr>
          <w:p w14:paraId="746075A9" w14:textId="77777777" w:rsidR="00913BE8" w:rsidRPr="00AE09DE" w:rsidRDefault="00913BE8" w:rsidP="001025DA">
            <w:pPr>
              <w:pStyle w:val="CDIFigure-Table-BodyTextCentre"/>
            </w:pPr>
            <w:r w:rsidRPr="00AE09DE">
              <w:t>0.08</w:t>
            </w:r>
          </w:p>
        </w:tc>
        <w:tc>
          <w:tcPr>
            <w:tcW w:w="737" w:type="dxa"/>
            <w:tcBorders>
              <w:left w:val="single" w:sz="4" w:space="0" w:color="033636" w:themeColor="text2"/>
            </w:tcBorders>
            <w:tcMar>
              <w:top w:w="113" w:type="dxa"/>
              <w:left w:w="113" w:type="dxa"/>
              <w:bottom w:w="113" w:type="dxa"/>
              <w:right w:w="113" w:type="dxa"/>
            </w:tcMar>
            <w:vAlign w:val="center"/>
          </w:tcPr>
          <w:p w14:paraId="338EBA99" w14:textId="77777777" w:rsidR="00913BE8" w:rsidRPr="00AE09DE" w:rsidRDefault="00913BE8" w:rsidP="001025DA">
            <w:pPr>
              <w:pStyle w:val="CDIFigure-Table-BodyTextCentre"/>
            </w:pPr>
            <w:r w:rsidRPr="00AE09DE">
              <w:t>0.87</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05995022" w14:textId="77777777" w:rsidR="00913BE8" w:rsidRPr="00AE09DE" w:rsidRDefault="00913BE8" w:rsidP="001025DA">
            <w:pPr>
              <w:pStyle w:val="CDIFigure-Table-BodyTextCentre"/>
            </w:pPr>
            <w:r w:rsidRPr="00AE09DE">
              <w:t>0.62–1.23</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5A3E5F1" w14:textId="77777777" w:rsidR="00913BE8" w:rsidRPr="00AE09DE" w:rsidRDefault="00913BE8" w:rsidP="001025DA">
            <w:pPr>
              <w:pStyle w:val="CDIFigure-Table-BodyTextCentre"/>
            </w:pPr>
            <w:r w:rsidRPr="00AE09DE">
              <w:t>0.12</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BB9343A" w14:textId="77777777" w:rsidR="00913BE8" w:rsidRPr="00AE09DE" w:rsidRDefault="00913BE8" w:rsidP="001025DA">
            <w:pPr>
              <w:pStyle w:val="CDIFigure-Table-BodyTextCentre"/>
            </w:pPr>
            <w:r w:rsidRPr="00AE09DE">
              <w:t>0.07–0.20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B158190" w14:textId="77777777" w:rsidR="00913BE8" w:rsidRPr="00AE09DE" w:rsidRDefault="00913BE8" w:rsidP="001025DA">
            <w:pPr>
              <w:pStyle w:val="CDIFigure-Table-BodyTextCentre"/>
            </w:pPr>
            <w:r w:rsidRPr="00AE09DE">
              <w:t>0.24</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3318721E" w14:textId="77777777" w:rsidR="00913BE8" w:rsidRPr="00AE09DE" w:rsidRDefault="00913BE8" w:rsidP="001025DA">
            <w:pPr>
              <w:pStyle w:val="CDIFigure-Table-BodyTextCentre"/>
            </w:pPr>
            <w:r w:rsidRPr="00AE09DE">
              <w:t>0.09–0.61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BDEA5AA" w14:textId="77777777" w:rsidR="00913BE8" w:rsidRPr="00AE09DE" w:rsidRDefault="00913BE8" w:rsidP="001025DA">
            <w:pPr>
              <w:pStyle w:val="CDIFigure-Table-BodyTextCentre"/>
            </w:pPr>
            <w:r w:rsidRPr="00AE09DE">
              <w:t>0.03</w:t>
            </w:r>
          </w:p>
        </w:tc>
        <w:tc>
          <w:tcPr>
            <w:tcW w:w="1020" w:type="dxa"/>
            <w:shd w:val="clear" w:color="auto" w:fill="93F9F9" w:themeFill="text2" w:themeFillTint="40"/>
            <w:tcMar>
              <w:top w:w="113" w:type="dxa"/>
              <w:left w:w="113" w:type="dxa"/>
              <w:bottom w:w="113" w:type="dxa"/>
              <w:right w:w="113" w:type="dxa"/>
            </w:tcMar>
            <w:vAlign w:val="center"/>
          </w:tcPr>
          <w:p w14:paraId="37865083" w14:textId="77777777" w:rsidR="00913BE8" w:rsidRPr="00AE09DE" w:rsidRDefault="00913BE8" w:rsidP="001025DA">
            <w:pPr>
              <w:pStyle w:val="CDIFigure-Table-BodyTextCentre"/>
            </w:pPr>
            <w:r w:rsidRPr="00AE09DE">
              <w:t>0.01–0.09</w:t>
            </w:r>
          </w:p>
        </w:tc>
      </w:tr>
      <w:tr w:rsidR="00913BE8" w:rsidRPr="00AE09DE" w14:paraId="637944E0" w14:textId="77777777" w:rsidTr="00554FA2">
        <w:trPr>
          <w:divId w:val="935526654"/>
          <w:trHeight w:val="20"/>
        </w:trPr>
        <w:tc>
          <w:tcPr>
            <w:tcW w:w="1474" w:type="dxa"/>
            <w:vMerge/>
            <w:shd w:val="clear" w:color="auto" w:fill="C5FFEF" w:themeFill="background2" w:themeFillTint="33"/>
          </w:tcPr>
          <w:p w14:paraId="37C8229E"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13E4EAD5" w14:textId="77777777" w:rsidR="00913BE8" w:rsidRPr="00AE09DE" w:rsidRDefault="00913BE8" w:rsidP="001025DA">
            <w:pPr>
              <w:pStyle w:val="CDIFigure-Table-BodyTextLeft"/>
            </w:pPr>
            <w:r w:rsidRPr="00AE09DE">
              <w:t>Pertussis</w:t>
            </w:r>
          </w:p>
        </w:tc>
        <w:tc>
          <w:tcPr>
            <w:tcW w:w="737" w:type="dxa"/>
            <w:tcMar>
              <w:top w:w="113" w:type="dxa"/>
              <w:left w:w="113" w:type="dxa"/>
              <w:bottom w:w="113" w:type="dxa"/>
              <w:right w:w="113" w:type="dxa"/>
            </w:tcMar>
            <w:vAlign w:val="center"/>
          </w:tcPr>
          <w:p w14:paraId="5011A247" w14:textId="77777777" w:rsidR="00913BE8" w:rsidRPr="00AE09DE" w:rsidRDefault="00913BE8" w:rsidP="001025DA">
            <w:pPr>
              <w:pStyle w:val="CDIFigure-Table-BodyTextCentre"/>
            </w:pPr>
            <w:r w:rsidRPr="00AE09DE">
              <w:t>47</w:t>
            </w:r>
          </w:p>
        </w:tc>
        <w:tc>
          <w:tcPr>
            <w:tcW w:w="794" w:type="dxa"/>
            <w:tcMar>
              <w:top w:w="113" w:type="dxa"/>
              <w:left w:w="113" w:type="dxa"/>
              <w:bottom w:w="113" w:type="dxa"/>
              <w:right w:w="113" w:type="dxa"/>
            </w:tcMar>
            <w:vAlign w:val="center"/>
          </w:tcPr>
          <w:p w14:paraId="4F8B60C6" w14:textId="77777777" w:rsidR="00913BE8" w:rsidRPr="00AE09DE" w:rsidRDefault="00913BE8" w:rsidP="001025DA">
            <w:pPr>
              <w:pStyle w:val="CDIFigure-Table-BodyTextCentre"/>
            </w:pPr>
            <w:r w:rsidRPr="00AE09DE">
              <w:t>65</w:t>
            </w:r>
          </w:p>
        </w:tc>
        <w:tc>
          <w:tcPr>
            <w:tcW w:w="737" w:type="dxa"/>
            <w:tcMar>
              <w:top w:w="113" w:type="dxa"/>
              <w:left w:w="113" w:type="dxa"/>
              <w:bottom w:w="113" w:type="dxa"/>
              <w:right w:w="113" w:type="dxa"/>
            </w:tcMar>
            <w:vAlign w:val="center"/>
          </w:tcPr>
          <w:p w14:paraId="310C63BF" w14:textId="77777777" w:rsidR="00913BE8" w:rsidRPr="00AE09DE" w:rsidRDefault="00913BE8" w:rsidP="001025DA">
            <w:pPr>
              <w:pStyle w:val="CDIFigure-Table-BodyTextCentre"/>
            </w:pPr>
            <w:r w:rsidRPr="00AE09DE">
              <w:t>13</w:t>
            </w:r>
          </w:p>
        </w:tc>
        <w:tc>
          <w:tcPr>
            <w:tcW w:w="737" w:type="dxa"/>
            <w:tcBorders>
              <w:right w:val="single" w:sz="4" w:space="0" w:color="033636" w:themeColor="text2"/>
            </w:tcBorders>
            <w:tcMar>
              <w:top w:w="113" w:type="dxa"/>
              <w:left w:w="113" w:type="dxa"/>
              <w:bottom w:w="113" w:type="dxa"/>
              <w:right w:w="113" w:type="dxa"/>
            </w:tcMar>
            <w:vAlign w:val="center"/>
          </w:tcPr>
          <w:p w14:paraId="435B6BBB" w14:textId="77777777" w:rsidR="00913BE8" w:rsidRPr="00AE09DE" w:rsidRDefault="00913BE8" w:rsidP="001025DA">
            <w:pPr>
              <w:pStyle w:val="CDIFigure-Table-BodyTextCentre"/>
            </w:pPr>
            <w:r w:rsidRPr="00AE09DE">
              <w:t>2.16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2540BA81" w14:textId="77777777" w:rsidR="00913BE8" w:rsidRPr="00AE09DE" w:rsidRDefault="00913BE8" w:rsidP="001025DA">
            <w:pPr>
              <w:pStyle w:val="CDIFigure-Table-BodyTextCentre"/>
            </w:pPr>
            <w:r w:rsidRPr="00AE09DE">
              <w:t>0.29</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3F3FAAF9" w14:textId="77777777" w:rsidR="00913BE8" w:rsidRPr="00AE09DE" w:rsidRDefault="00913BE8" w:rsidP="001025DA">
            <w:pPr>
              <w:pStyle w:val="CDIFigure-Table-BodyTextCentre"/>
            </w:pPr>
            <w:r w:rsidRPr="00AE09DE">
              <w:t>0.16–0.52</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088EF092" w14:textId="77777777" w:rsidR="00913BE8" w:rsidRPr="00AE09DE" w:rsidRDefault="00913BE8" w:rsidP="001025DA">
            <w:pPr>
              <w:pStyle w:val="CDIFigure-Table-BodyTextCentre"/>
            </w:pPr>
            <w:r w:rsidRPr="00AE09DE">
              <w:t>0.05</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EAFC9E8" w14:textId="77777777" w:rsidR="00913BE8" w:rsidRPr="00AE09DE" w:rsidRDefault="00913BE8" w:rsidP="001025DA">
            <w:pPr>
              <w:pStyle w:val="CDIFigure-Table-BodyTextCentre"/>
            </w:pPr>
            <w:r w:rsidRPr="00AE09DE">
              <w:t>0.02–0.08</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8E1C450" w14:textId="77777777" w:rsidR="00913BE8" w:rsidRPr="00AE09DE" w:rsidRDefault="00913BE8" w:rsidP="001025DA">
            <w:pPr>
              <w:pStyle w:val="CDIFigure-Table-BodyTextCentre"/>
            </w:pPr>
            <w:r w:rsidRPr="00AE09DE">
              <w:t>0.21</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383514CB" w14:textId="77777777" w:rsidR="00913BE8" w:rsidRPr="00AE09DE" w:rsidRDefault="00913BE8" w:rsidP="001025DA">
            <w:pPr>
              <w:pStyle w:val="CDIFigure-Table-BodyTextCentre"/>
            </w:pPr>
            <w:r w:rsidRPr="00AE09DE">
              <w:t>0.12–0.36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76B8084" w14:textId="77777777" w:rsidR="00913BE8" w:rsidRPr="00AE09DE" w:rsidRDefault="00913BE8" w:rsidP="001025DA">
            <w:pPr>
              <w:pStyle w:val="CDIFigure-Table-BodyTextCentre"/>
            </w:pPr>
            <w:r w:rsidRPr="00AE09DE">
              <w:t>0.03</w:t>
            </w:r>
          </w:p>
        </w:tc>
        <w:tc>
          <w:tcPr>
            <w:tcW w:w="1020" w:type="dxa"/>
            <w:shd w:val="clear" w:color="auto" w:fill="93F9F9" w:themeFill="text2" w:themeFillTint="40"/>
            <w:tcMar>
              <w:top w:w="113" w:type="dxa"/>
              <w:left w:w="113" w:type="dxa"/>
              <w:bottom w:w="113" w:type="dxa"/>
              <w:right w:w="113" w:type="dxa"/>
            </w:tcMar>
            <w:vAlign w:val="center"/>
          </w:tcPr>
          <w:p w14:paraId="222E40D1" w14:textId="77777777" w:rsidR="00913BE8" w:rsidRPr="00AE09DE" w:rsidRDefault="00913BE8" w:rsidP="001025DA">
            <w:pPr>
              <w:pStyle w:val="CDIFigure-Table-BodyTextCentre"/>
            </w:pPr>
            <w:r w:rsidRPr="00AE09DE">
              <w:t>0.02–0.06</w:t>
            </w:r>
          </w:p>
        </w:tc>
      </w:tr>
      <w:tr w:rsidR="00913BE8" w:rsidRPr="00AE09DE" w14:paraId="6C954F43" w14:textId="77777777" w:rsidTr="00554FA2">
        <w:trPr>
          <w:divId w:val="935526654"/>
          <w:trHeight w:val="20"/>
        </w:trPr>
        <w:tc>
          <w:tcPr>
            <w:tcW w:w="1474" w:type="dxa"/>
            <w:vMerge/>
            <w:shd w:val="clear" w:color="auto" w:fill="C5FFEF" w:themeFill="background2" w:themeFillTint="33"/>
          </w:tcPr>
          <w:p w14:paraId="3E5432FF"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3F353083" w14:textId="77777777" w:rsidR="00913BE8" w:rsidRPr="00AE09DE" w:rsidRDefault="00913BE8" w:rsidP="001025DA">
            <w:pPr>
              <w:pStyle w:val="CDIFigure-Table-BodyTextLeft"/>
            </w:pPr>
            <w:r w:rsidRPr="00AE09DE">
              <w:t>Pneumococcal disease (invasive)</w:t>
            </w:r>
          </w:p>
        </w:tc>
        <w:tc>
          <w:tcPr>
            <w:tcW w:w="737" w:type="dxa"/>
            <w:tcMar>
              <w:top w:w="113" w:type="dxa"/>
              <w:left w:w="113" w:type="dxa"/>
              <w:bottom w:w="113" w:type="dxa"/>
              <w:right w:w="113" w:type="dxa"/>
            </w:tcMar>
            <w:vAlign w:val="center"/>
          </w:tcPr>
          <w:p w14:paraId="7692DD31" w14:textId="77777777" w:rsidR="00913BE8" w:rsidRPr="00AE09DE" w:rsidRDefault="00913BE8" w:rsidP="001025DA">
            <w:pPr>
              <w:pStyle w:val="CDIFigure-Table-BodyTextCentre"/>
            </w:pPr>
            <w:r w:rsidRPr="00AE09DE">
              <w:t>8.35</w:t>
            </w:r>
          </w:p>
        </w:tc>
        <w:tc>
          <w:tcPr>
            <w:tcW w:w="794" w:type="dxa"/>
            <w:tcMar>
              <w:top w:w="113" w:type="dxa"/>
              <w:left w:w="113" w:type="dxa"/>
              <w:bottom w:w="113" w:type="dxa"/>
              <w:right w:w="113" w:type="dxa"/>
            </w:tcMar>
            <w:vAlign w:val="center"/>
          </w:tcPr>
          <w:p w14:paraId="7B3C8534" w14:textId="77777777" w:rsidR="00913BE8" w:rsidRPr="00AE09DE" w:rsidRDefault="00913BE8" w:rsidP="001025DA">
            <w:pPr>
              <w:pStyle w:val="CDIFigure-Table-BodyTextCentre"/>
            </w:pPr>
            <w:r w:rsidRPr="00AE09DE">
              <w:t>7.55</w:t>
            </w:r>
          </w:p>
        </w:tc>
        <w:tc>
          <w:tcPr>
            <w:tcW w:w="737" w:type="dxa"/>
            <w:tcMar>
              <w:top w:w="113" w:type="dxa"/>
              <w:left w:w="113" w:type="dxa"/>
              <w:bottom w:w="113" w:type="dxa"/>
              <w:right w:w="113" w:type="dxa"/>
            </w:tcMar>
            <w:vAlign w:val="center"/>
          </w:tcPr>
          <w:p w14:paraId="5BCF0503" w14:textId="77777777" w:rsidR="00913BE8" w:rsidRPr="00AE09DE" w:rsidRDefault="00913BE8" w:rsidP="001025DA">
            <w:pPr>
              <w:pStyle w:val="CDIFigure-Table-BodyTextCentre"/>
            </w:pPr>
            <w:r w:rsidRPr="00AE09DE">
              <w:t>4.35</w:t>
            </w:r>
          </w:p>
        </w:tc>
        <w:tc>
          <w:tcPr>
            <w:tcW w:w="737" w:type="dxa"/>
            <w:tcBorders>
              <w:right w:val="single" w:sz="4" w:space="0" w:color="033636" w:themeColor="text2"/>
            </w:tcBorders>
            <w:tcMar>
              <w:top w:w="113" w:type="dxa"/>
              <w:left w:w="113" w:type="dxa"/>
              <w:bottom w:w="113" w:type="dxa"/>
              <w:right w:w="113" w:type="dxa"/>
            </w:tcMar>
            <w:vAlign w:val="center"/>
          </w:tcPr>
          <w:p w14:paraId="30003E4D" w14:textId="77777777" w:rsidR="00913BE8" w:rsidRPr="00AE09DE" w:rsidRDefault="00913BE8" w:rsidP="001025DA">
            <w:pPr>
              <w:pStyle w:val="CDIFigure-Table-BodyTextCentre"/>
            </w:pPr>
            <w:r w:rsidRPr="00AE09DE">
              <w:t>5.21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462CD44" w14:textId="77777777" w:rsidR="00913BE8" w:rsidRPr="00AE09DE" w:rsidRDefault="00913BE8" w:rsidP="001025DA">
            <w:pPr>
              <w:pStyle w:val="CDIFigure-Table-BodyTextCentre"/>
            </w:pPr>
            <w:r w:rsidRPr="00AE09DE">
              <w:t>0.52</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2D697382" w14:textId="77777777" w:rsidR="00913BE8" w:rsidRPr="00AE09DE" w:rsidRDefault="00913BE8" w:rsidP="001025DA">
            <w:pPr>
              <w:pStyle w:val="CDIFigure-Table-BodyTextCentre"/>
            </w:pPr>
            <w:r w:rsidRPr="00AE09DE">
              <w:t>0.41–0.66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418118D8" w14:textId="77777777" w:rsidR="00913BE8" w:rsidRPr="00AE09DE" w:rsidRDefault="00913BE8" w:rsidP="001025DA">
            <w:pPr>
              <w:pStyle w:val="CDIFigure-Table-BodyTextCentre"/>
            </w:pPr>
            <w:r w:rsidRPr="00AE09DE">
              <w:t>0.62</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10A2EF69" w14:textId="77777777" w:rsidR="00913BE8" w:rsidRPr="00AE09DE" w:rsidRDefault="00913BE8" w:rsidP="001025DA">
            <w:pPr>
              <w:pStyle w:val="CDIFigure-Table-BodyTextCentre"/>
            </w:pPr>
            <w:r w:rsidRPr="00AE09DE">
              <w:t>0.49–0.79</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55C759EC" w14:textId="77777777" w:rsidR="00913BE8" w:rsidRPr="00AE09DE" w:rsidRDefault="00913BE8" w:rsidP="001025DA">
            <w:pPr>
              <w:pStyle w:val="CDIFigure-Table-BodyTextCentre"/>
            </w:pPr>
            <w:r w:rsidRPr="00AE09DE">
              <w:t>0.58</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BD19736" w14:textId="77777777" w:rsidR="00913BE8" w:rsidRPr="00AE09DE" w:rsidRDefault="00913BE8" w:rsidP="001025DA">
            <w:pPr>
              <w:pStyle w:val="CDIFigure-Table-BodyTextCentre"/>
            </w:pPr>
            <w:r w:rsidRPr="00AE09DE">
              <w:t>0.47–0.71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2A2E2B7" w14:textId="77777777" w:rsidR="00913BE8" w:rsidRPr="00AE09DE" w:rsidRDefault="00913BE8" w:rsidP="001025DA">
            <w:pPr>
              <w:pStyle w:val="CDIFigure-Table-BodyTextCentre"/>
            </w:pPr>
            <w:r w:rsidRPr="00AE09DE">
              <w:t>0.69</w:t>
            </w:r>
          </w:p>
        </w:tc>
        <w:tc>
          <w:tcPr>
            <w:tcW w:w="1020" w:type="dxa"/>
            <w:shd w:val="clear" w:color="auto" w:fill="93F9F9" w:themeFill="text2" w:themeFillTint="40"/>
            <w:tcMar>
              <w:top w:w="113" w:type="dxa"/>
              <w:left w:w="113" w:type="dxa"/>
              <w:bottom w:w="113" w:type="dxa"/>
              <w:right w:w="113" w:type="dxa"/>
            </w:tcMar>
            <w:vAlign w:val="center"/>
          </w:tcPr>
          <w:p w14:paraId="0DE02FC5" w14:textId="77777777" w:rsidR="00913BE8" w:rsidRPr="00AE09DE" w:rsidRDefault="00913BE8" w:rsidP="001025DA">
            <w:pPr>
              <w:pStyle w:val="CDIFigure-Table-BodyTextCentre"/>
            </w:pPr>
            <w:r w:rsidRPr="00AE09DE">
              <w:t>0.56–0.85</w:t>
            </w:r>
          </w:p>
        </w:tc>
      </w:tr>
      <w:tr w:rsidR="00913BE8" w:rsidRPr="00AE09DE" w14:paraId="23F86BBD" w14:textId="77777777" w:rsidTr="00554FA2">
        <w:trPr>
          <w:divId w:val="935526654"/>
          <w:trHeight w:val="20"/>
        </w:trPr>
        <w:tc>
          <w:tcPr>
            <w:tcW w:w="1474" w:type="dxa"/>
            <w:vMerge/>
            <w:shd w:val="clear" w:color="auto" w:fill="C5FFEF" w:themeFill="background2" w:themeFillTint="33"/>
          </w:tcPr>
          <w:p w14:paraId="370EAE1C"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493A29E2" w14:textId="77777777" w:rsidR="00913BE8" w:rsidRPr="00AE09DE" w:rsidRDefault="00913BE8" w:rsidP="001025DA">
            <w:pPr>
              <w:pStyle w:val="CDIFigure-Table-BodyTextLeft"/>
            </w:pPr>
            <w:r w:rsidRPr="00AE09DE">
              <w:t>Rotavirus</w:t>
            </w:r>
            <w:r w:rsidRPr="00263EAD">
              <w:rPr>
                <w:vertAlign w:val="superscript"/>
              </w:rPr>
              <w:t>e</w:t>
            </w:r>
          </w:p>
        </w:tc>
        <w:tc>
          <w:tcPr>
            <w:tcW w:w="737" w:type="dxa"/>
            <w:tcMar>
              <w:top w:w="113" w:type="dxa"/>
              <w:left w:w="113" w:type="dxa"/>
              <w:bottom w:w="113" w:type="dxa"/>
              <w:right w:w="113" w:type="dxa"/>
            </w:tcMar>
            <w:vAlign w:val="center"/>
          </w:tcPr>
          <w:p w14:paraId="5765A867" w14:textId="77777777" w:rsidR="00913BE8" w:rsidRPr="00AE09DE" w:rsidRDefault="00913BE8" w:rsidP="001025DA">
            <w:pPr>
              <w:pStyle w:val="CDIFigure-Table-BodyTextCentre"/>
            </w:pPr>
            <w:r w:rsidRPr="00AE09DE">
              <w:t>24</w:t>
            </w:r>
          </w:p>
        </w:tc>
        <w:tc>
          <w:tcPr>
            <w:tcW w:w="794" w:type="dxa"/>
            <w:tcMar>
              <w:top w:w="113" w:type="dxa"/>
              <w:left w:w="113" w:type="dxa"/>
              <w:bottom w:w="113" w:type="dxa"/>
              <w:right w:w="113" w:type="dxa"/>
            </w:tcMar>
            <w:vAlign w:val="center"/>
          </w:tcPr>
          <w:p w14:paraId="71FA676F" w14:textId="77777777" w:rsidR="00913BE8" w:rsidRPr="00AE09DE" w:rsidRDefault="00913BE8" w:rsidP="001025DA">
            <w:pPr>
              <w:pStyle w:val="CDIFigure-Table-BodyTextCentre"/>
            </w:pPr>
            <w:r w:rsidRPr="00AE09DE">
              <w:t>19</w:t>
            </w:r>
          </w:p>
        </w:tc>
        <w:tc>
          <w:tcPr>
            <w:tcW w:w="737" w:type="dxa"/>
            <w:tcMar>
              <w:top w:w="113" w:type="dxa"/>
              <w:left w:w="113" w:type="dxa"/>
              <w:bottom w:w="113" w:type="dxa"/>
              <w:right w:w="113" w:type="dxa"/>
            </w:tcMar>
            <w:vAlign w:val="center"/>
          </w:tcPr>
          <w:p w14:paraId="2E5EFC5F" w14:textId="77777777" w:rsidR="00913BE8" w:rsidRPr="00AE09DE" w:rsidRDefault="00913BE8" w:rsidP="001025DA">
            <w:pPr>
              <w:pStyle w:val="CDIFigure-Table-BodyTextCentre"/>
            </w:pPr>
            <w:r w:rsidRPr="00AE09DE">
              <w:t>6.65</w:t>
            </w:r>
          </w:p>
        </w:tc>
        <w:tc>
          <w:tcPr>
            <w:tcW w:w="737" w:type="dxa"/>
            <w:tcBorders>
              <w:right w:val="single" w:sz="4" w:space="0" w:color="033636" w:themeColor="text2"/>
            </w:tcBorders>
            <w:tcMar>
              <w:top w:w="113" w:type="dxa"/>
              <w:left w:w="113" w:type="dxa"/>
              <w:bottom w:w="113" w:type="dxa"/>
              <w:right w:w="113" w:type="dxa"/>
            </w:tcMar>
            <w:vAlign w:val="center"/>
          </w:tcPr>
          <w:p w14:paraId="0D04837C" w14:textId="77777777" w:rsidR="00913BE8" w:rsidRPr="00AE09DE" w:rsidRDefault="00913BE8" w:rsidP="001025DA">
            <w:pPr>
              <w:pStyle w:val="CDIFigure-Table-BodyTextCentre"/>
            </w:pPr>
            <w:r w:rsidRPr="00AE09DE">
              <w:t>10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0134DDA7" w14:textId="77777777" w:rsidR="00913BE8" w:rsidRPr="00AE09DE" w:rsidRDefault="00913BE8" w:rsidP="001025DA">
            <w:pPr>
              <w:pStyle w:val="CDIFigure-Table-BodyTextCentre"/>
            </w:pPr>
            <w:r w:rsidRPr="00AE09DE">
              <w:t>0.27</w:t>
            </w:r>
          </w:p>
        </w:tc>
        <w:tc>
          <w:tcPr>
            <w:tcW w:w="1021"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64280C95" w14:textId="77777777" w:rsidR="00913BE8" w:rsidRPr="00AE09DE" w:rsidRDefault="00913BE8" w:rsidP="001025DA">
            <w:pPr>
              <w:pStyle w:val="CDIFigure-Table-BodyTextCentre"/>
            </w:pPr>
            <w:r w:rsidRPr="00AE09DE">
              <w:t>0.12–0.61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F77A3D1" w14:textId="77777777" w:rsidR="00913BE8" w:rsidRPr="00AE09DE" w:rsidRDefault="00913BE8" w:rsidP="001025DA">
            <w:pPr>
              <w:pStyle w:val="CDIFigure-Table-BodyTextCentre"/>
            </w:pPr>
            <w:r w:rsidRPr="00AE09DE">
              <w:t>0.41</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BD47F9C" w14:textId="77777777" w:rsidR="00913BE8" w:rsidRPr="00AE09DE" w:rsidRDefault="00913BE8" w:rsidP="001025DA">
            <w:pPr>
              <w:pStyle w:val="CDIFigure-Table-BodyTextCentre"/>
            </w:pPr>
            <w:r w:rsidRPr="00AE09DE">
              <w:t>0.19–0.92</w:t>
            </w:r>
          </w:p>
        </w:tc>
        <w:tc>
          <w:tcPr>
            <w:tcW w:w="737" w:type="dxa"/>
            <w:tcBorders>
              <w:left w:val="single" w:sz="4" w:space="0" w:color="033636" w:themeColor="text2"/>
            </w:tcBorders>
            <w:tcMar>
              <w:top w:w="113" w:type="dxa"/>
              <w:left w:w="113" w:type="dxa"/>
              <w:bottom w:w="113" w:type="dxa"/>
              <w:right w:w="113" w:type="dxa"/>
            </w:tcMar>
            <w:vAlign w:val="center"/>
          </w:tcPr>
          <w:p w14:paraId="02307917" w14:textId="77777777" w:rsidR="00913BE8" w:rsidRPr="00AE09DE" w:rsidRDefault="00913BE8" w:rsidP="001025DA">
            <w:pPr>
              <w:pStyle w:val="CDIFigure-Table-BodyTextCentre"/>
            </w:pPr>
          </w:p>
        </w:tc>
        <w:tc>
          <w:tcPr>
            <w:tcW w:w="1021" w:type="dxa"/>
            <w:tcBorders>
              <w:right w:val="single" w:sz="4" w:space="0" w:color="033636" w:themeColor="text2"/>
            </w:tcBorders>
            <w:tcMar>
              <w:top w:w="113" w:type="dxa"/>
              <w:left w:w="113" w:type="dxa"/>
              <w:bottom w:w="113" w:type="dxa"/>
              <w:right w:w="113" w:type="dxa"/>
            </w:tcMar>
            <w:vAlign w:val="center"/>
          </w:tcPr>
          <w:p w14:paraId="18A20CAC" w14:textId="77777777" w:rsidR="00913BE8" w:rsidRPr="00AE09DE" w:rsidRDefault="00913BE8" w:rsidP="001025DA">
            <w:pPr>
              <w:pStyle w:val="CDIFigure-Table-BodyTextCentre"/>
            </w:pPr>
          </w:p>
        </w:tc>
        <w:tc>
          <w:tcPr>
            <w:tcW w:w="737" w:type="dxa"/>
            <w:tcBorders>
              <w:left w:val="single" w:sz="4" w:space="0" w:color="033636" w:themeColor="text2"/>
            </w:tcBorders>
            <w:tcMar>
              <w:top w:w="113" w:type="dxa"/>
              <w:left w:w="113" w:type="dxa"/>
              <w:bottom w:w="113" w:type="dxa"/>
              <w:right w:w="113" w:type="dxa"/>
            </w:tcMar>
            <w:vAlign w:val="center"/>
          </w:tcPr>
          <w:p w14:paraId="1BCCE780" w14:textId="77777777" w:rsidR="00913BE8" w:rsidRPr="00AE09DE" w:rsidRDefault="00913BE8" w:rsidP="001025DA">
            <w:pPr>
              <w:pStyle w:val="CDIFigure-Table-BodyTextCentre"/>
            </w:pPr>
          </w:p>
        </w:tc>
        <w:tc>
          <w:tcPr>
            <w:tcW w:w="1020" w:type="dxa"/>
            <w:tcMar>
              <w:top w:w="113" w:type="dxa"/>
              <w:left w:w="113" w:type="dxa"/>
              <w:bottom w:w="113" w:type="dxa"/>
              <w:right w:w="113" w:type="dxa"/>
            </w:tcMar>
            <w:vAlign w:val="center"/>
          </w:tcPr>
          <w:p w14:paraId="1ED9C8C8" w14:textId="77777777" w:rsidR="00913BE8" w:rsidRPr="00AE09DE" w:rsidRDefault="00913BE8" w:rsidP="001025DA">
            <w:pPr>
              <w:pStyle w:val="CDIFigure-Table-BodyTextCentre"/>
            </w:pPr>
          </w:p>
        </w:tc>
      </w:tr>
      <w:tr w:rsidR="00913BE8" w:rsidRPr="00AE09DE" w14:paraId="0A6787AC" w14:textId="77777777" w:rsidTr="00554FA2">
        <w:trPr>
          <w:divId w:val="935526654"/>
          <w:trHeight w:val="20"/>
        </w:trPr>
        <w:tc>
          <w:tcPr>
            <w:tcW w:w="1474" w:type="dxa"/>
            <w:vMerge/>
            <w:shd w:val="clear" w:color="auto" w:fill="C5FFEF" w:themeFill="background2" w:themeFillTint="33"/>
          </w:tcPr>
          <w:p w14:paraId="0C49E54A"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09EE0122" w14:textId="77777777" w:rsidR="00913BE8" w:rsidRPr="00AE09DE" w:rsidRDefault="00913BE8" w:rsidP="001025DA">
            <w:pPr>
              <w:pStyle w:val="CDIFigure-Table-BodyTextLeft"/>
            </w:pPr>
            <w:r w:rsidRPr="00AE09DE">
              <w:t>Varicella zoster (chickenpox)</w:t>
            </w:r>
          </w:p>
        </w:tc>
        <w:tc>
          <w:tcPr>
            <w:tcW w:w="737" w:type="dxa"/>
            <w:tcMar>
              <w:top w:w="113" w:type="dxa"/>
              <w:left w:w="113" w:type="dxa"/>
              <w:bottom w:w="113" w:type="dxa"/>
              <w:right w:w="113" w:type="dxa"/>
            </w:tcMar>
            <w:vAlign w:val="center"/>
          </w:tcPr>
          <w:p w14:paraId="0AAE2024" w14:textId="77777777" w:rsidR="00913BE8" w:rsidRPr="00AE09DE" w:rsidRDefault="00913BE8" w:rsidP="001025DA">
            <w:pPr>
              <w:pStyle w:val="CDIFigure-Table-BodyTextCentre"/>
            </w:pPr>
            <w:r w:rsidRPr="00AE09DE">
              <w:t>17</w:t>
            </w:r>
          </w:p>
        </w:tc>
        <w:tc>
          <w:tcPr>
            <w:tcW w:w="794" w:type="dxa"/>
            <w:tcMar>
              <w:top w:w="113" w:type="dxa"/>
              <w:left w:w="113" w:type="dxa"/>
              <w:bottom w:w="113" w:type="dxa"/>
              <w:right w:w="113" w:type="dxa"/>
            </w:tcMar>
            <w:vAlign w:val="center"/>
          </w:tcPr>
          <w:p w14:paraId="5513ADB0" w14:textId="77777777" w:rsidR="00913BE8" w:rsidRPr="00AE09DE" w:rsidRDefault="00913BE8" w:rsidP="001025DA">
            <w:pPr>
              <w:pStyle w:val="CDIFigure-Table-BodyTextCentre"/>
            </w:pPr>
            <w:r w:rsidRPr="00AE09DE">
              <w:t>14</w:t>
            </w:r>
          </w:p>
        </w:tc>
        <w:tc>
          <w:tcPr>
            <w:tcW w:w="737" w:type="dxa"/>
            <w:tcMar>
              <w:top w:w="113" w:type="dxa"/>
              <w:left w:w="113" w:type="dxa"/>
              <w:bottom w:w="113" w:type="dxa"/>
              <w:right w:w="113" w:type="dxa"/>
            </w:tcMar>
            <w:vAlign w:val="center"/>
          </w:tcPr>
          <w:p w14:paraId="6EFB2402" w14:textId="77777777" w:rsidR="00913BE8" w:rsidRPr="00AE09DE" w:rsidRDefault="00913BE8" w:rsidP="001025DA">
            <w:pPr>
              <w:pStyle w:val="CDIFigure-Table-BodyTextCentre"/>
            </w:pPr>
            <w:r w:rsidRPr="00AE09DE">
              <w:t>11</w:t>
            </w:r>
          </w:p>
        </w:tc>
        <w:tc>
          <w:tcPr>
            <w:tcW w:w="737" w:type="dxa"/>
            <w:tcBorders>
              <w:right w:val="single" w:sz="4" w:space="0" w:color="033636" w:themeColor="text2"/>
            </w:tcBorders>
            <w:tcMar>
              <w:top w:w="113" w:type="dxa"/>
              <w:left w:w="113" w:type="dxa"/>
              <w:bottom w:w="113" w:type="dxa"/>
              <w:right w:w="113" w:type="dxa"/>
            </w:tcMar>
            <w:vAlign w:val="center"/>
          </w:tcPr>
          <w:p w14:paraId="33A15039" w14:textId="77777777" w:rsidR="00913BE8" w:rsidRPr="00AE09DE" w:rsidRDefault="00913BE8" w:rsidP="001025DA">
            <w:pPr>
              <w:pStyle w:val="CDIFigure-Table-BodyTextCentre"/>
            </w:pPr>
            <w:r w:rsidRPr="00AE09DE">
              <w:t>7.73</w:t>
            </w:r>
          </w:p>
        </w:tc>
        <w:tc>
          <w:tcPr>
            <w:tcW w:w="737" w:type="dxa"/>
            <w:tcBorders>
              <w:left w:val="single" w:sz="4" w:space="0" w:color="033636" w:themeColor="text2"/>
            </w:tcBorders>
            <w:tcMar>
              <w:top w:w="113" w:type="dxa"/>
              <w:left w:w="113" w:type="dxa"/>
              <w:bottom w:w="113" w:type="dxa"/>
              <w:right w:w="113" w:type="dxa"/>
            </w:tcMar>
            <w:vAlign w:val="center"/>
          </w:tcPr>
          <w:p w14:paraId="4E8F58F9" w14:textId="77777777" w:rsidR="00913BE8" w:rsidRPr="00AE09DE" w:rsidRDefault="00913BE8" w:rsidP="001025DA">
            <w:pPr>
              <w:pStyle w:val="CDIFigure-Table-BodyTextCentre"/>
            </w:pPr>
            <w:r w:rsidRPr="00AE09DE">
              <w:t>0.65</w:t>
            </w:r>
          </w:p>
        </w:tc>
        <w:tc>
          <w:tcPr>
            <w:tcW w:w="1021" w:type="dxa"/>
            <w:tcBorders>
              <w:right w:val="single" w:sz="4" w:space="0" w:color="033636" w:themeColor="text2"/>
            </w:tcBorders>
            <w:tcMar>
              <w:top w:w="113" w:type="dxa"/>
              <w:left w:w="113" w:type="dxa"/>
              <w:bottom w:w="113" w:type="dxa"/>
              <w:right w:w="113" w:type="dxa"/>
            </w:tcMar>
            <w:vAlign w:val="center"/>
          </w:tcPr>
          <w:p w14:paraId="6C55201F" w14:textId="77777777" w:rsidR="00913BE8" w:rsidRPr="00AE09DE" w:rsidRDefault="00913BE8" w:rsidP="001025DA">
            <w:pPr>
              <w:pStyle w:val="CDIFigure-Table-BodyTextCentre"/>
            </w:pPr>
            <w:r w:rsidRPr="00AE09DE">
              <w:t>0.42–1.01</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8BE3309" w14:textId="77777777" w:rsidR="00913BE8" w:rsidRPr="00AE09DE" w:rsidRDefault="00913BE8" w:rsidP="001025DA">
            <w:pPr>
              <w:pStyle w:val="CDIFigure-Table-BodyTextCentre"/>
            </w:pPr>
            <w:r w:rsidRPr="00AE09DE">
              <w:t>0.45</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53B897CA" w14:textId="77777777" w:rsidR="00913BE8" w:rsidRPr="00AE09DE" w:rsidRDefault="00913BE8" w:rsidP="001025DA">
            <w:pPr>
              <w:pStyle w:val="CDIFigure-Table-BodyTextCentre"/>
            </w:pPr>
            <w:r w:rsidRPr="00AE09DE">
              <w:t>0.29–0.69</w:t>
            </w:r>
          </w:p>
        </w:tc>
        <w:tc>
          <w:tcPr>
            <w:tcW w:w="737" w:type="dxa"/>
            <w:tcBorders>
              <w:left w:val="single" w:sz="4" w:space="0" w:color="033636" w:themeColor="text2"/>
            </w:tcBorders>
            <w:tcMar>
              <w:top w:w="113" w:type="dxa"/>
              <w:left w:w="113" w:type="dxa"/>
              <w:bottom w:w="113" w:type="dxa"/>
              <w:right w:w="113" w:type="dxa"/>
            </w:tcMar>
            <w:vAlign w:val="center"/>
          </w:tcPr>
          <w:p w14:paraId="6BA41113" w14:textId="77777777" w:rsidR="00913BE8" w:rsidRPr="00AE09DE" w:rsidRDefault="00913BE8" w:rsidP="001025DA">
            <w:pPr>
              <w:pStyle w:val="CDIFigure-Table-BodyTextCentre"/>
            </w:pPr>
            <w:r w:rsidRPr="00AE09DE">
              <w:t>0.79</w:t>
            </w:r>
          </w:p>
        </w:tc>
        <w:tc>
          <w:tcPr>
            <w:tcW w:w="1021" w:type="dxa"/>
            <w:tcBorders>
              <w:right w:val="single" w:sz="4" w:space="0" w:color="033636" w:themeColor="text2"/>
            </w:tcBorders>
            <w:tcMar>
              <w:top w:w="113" w:type="dxa"/>
              <w:left w:w="113" w:type="dxa"/>
              <w:bottom w:w="113" w:type="dxa"/>
              <w:right w:w="113" w:type="dxa"/>
            </w:tcMar>
            <w:vAlign w:val="center"/>
          </w:tcPr>
          <w:p w14:paraId="102FE6F0" w14:textId="77777777" w:rsidR="00913BE8" w:rsidRPr="00AE09DE" w:rsidRDefault="00913BE8" w:rsidP="001025DA">
            <w:pPr>
              <w:pStyle w:val="CDIFigure-Table-BodyTextCentre"/>
            </w:pPr>
            <w:r w:rsidRPr="00AE09DE">
              <w:t>0.54–1.16</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8BB415C" w14:textId="77777777" w:rsidR="00913BE8" w:rsidRPr="00AE09DE" w:rsidRDefault="00913BE8" w:rsidP="001025DA">
            <w:pPr>
              <w:pStyle w:val="CDIFigure-Table-BodyTextCentre"/>
            </w:pPr>
            <w:r w:rsidRPr="00AE09DE">
              <w:t>0.54</w:t>
            </w:r>
          </w:p>
        </w:tc>
        <w:tc>
          <w:tcPr>
            <w:tcW w:w="1020" w:type="dxa"/>
            <w:shd w:val="clear" w:color="auto" w:fill="93F9F9" w:themeFill="text2" w:themeFillTint="40"/>
            <w:tcMar>
              <w:top w:w="113" w:type="dxa"/>
              <w:left w:w="113" w:type="dxa"/>
              <w:bottom w:w="113" w:type="dxa"/>
              <w:right w:w="113" w:type="dxa"/>
            </w:tcMar>
            <w:vAlign w:val="center"/>
          </w:tcPr>
          <w:p w14:paraId="62C7146D" w14:textId="77777777" w:rsidR="00913BE8" w:rsidRPr="00AE09DE" w:rsidRDefault="00913BE8" w:rsidP="001025DA">
            <w:pPr>
              <w:pStyle w:val="CDIFigure-Table-BodyTextCentre"/>
            </w:pPr>
            <w:r w:rsidRPr="00AE09DE">
              <w:t>0.37–0.80</w:t>
            </w:r>
          </w:p>
        </w:tc>
      </w:tr>
      <w:tr w:rsidR="00913BE8" w:rsidRPr="00AE09DE" w14:paraId="0723D793" w14:textId="77777777" w:rsidTr="00554FA2">
        <w:trPr>
          <w:divId w:val="935526654"/>
          <w:trHeight w:val="20"/>
        </w:trPr>
        <w:tc>
          <w:tcPr>
            <w:tcW w:w="1474" w:type="dxa"/>
            <w:shd w:val="clear" w:color="auto" w:fill="C5FFEF" w:themeFill="background2" w:themeFillTint="33"/>
          </w:tcPr>
          <w:p w14:paraId="40CC7E71"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001B8E4B" w14:textId="77777777" w:rsidR="00913BE8" w:rsidRPr="00AE09DE" w:rsidRDefault="00913BE8" w:rsidP="001025DA">
            <w:pPr>
              <w:pStyle w:val="CDIFigure-Table-BodyTextLeft"/>
            </w:pPr>
            <w:r w:rsidRPr="00AE09DE">
              <w:t>Varicella zoster (shingles)</w:t>
            </w:r>
          </w:p>
        </w:tc>
        <w:tc>
          <w:tcPr>
            <w:tcW w:w="737" w:type="dxa"/>
            <w:tcMar>
              <w:top w:w="113" w:type="dxa"/>
              <w:left w:w="113" w:type="dxa"/>
              <w:bottom w:w="113" w:type="dxa"/>
              <w:right w:w="113" w:type="dxa"/>
            </w:tcMar>
            <w:vAlign w:val="center"/>
          </w:tcPr>
          <w:p w14:paraId="3C2E9389" w14:textId="77777777" w:rsidR="00913BE8" w:rsidRPr="00AE09DE" w:rsidRDefault="00913BE8" w:rsidP="001025DA">
            <w:pPr>
              <w:pStyle w:val="CDIFigure-Table-BodyTextCentre"/>
            </w:pPr>
            <w:r w:rsidRPr="00AE09DE">
              <w:t>60</w:t>
            </w:r>
          </w:p>
        </w:tc>
        <w:tc>
          <w:tcPr>
            <w:tcW w:w="794" w:type="dxa"/>
            <w:tcMar>
              <w:top w:w="113" w:type="dxa"/>
              <w:left w:w="113" w:type="dxa"/>
              <w:bottom w:w="113" w:type="dxa"/>
              <w:right w:w="113" w:type="dxa"/>
            </w:tcMar>
            <w:vAlign w:val="center"/>
          </w:tcPr>
          <w:p w14:paraId="61DEC2C4" w14:textId="77777777" w:rsidR="00913BE8" w:rsidRPr="00AE09DE" w:rsidRDefault="00913BE8" w:rsidP="001025DA">
            <w:pPr>
              <w:pStyle w:val="CDIFigure-Table-BodyTextCentre"/>
            </w:pPr>
            <w:r w:rsidRPr="00AE09DE">
              <w:t>42</w:t>
            </w:r>
          </w:p>
        </w:tc>
        <w:tc>
          <w:tcPr>
            <w:tcW w:w="737" w:type="dxa"/>
            <w:tcMar>
              <w:top w:w="113" w:type="dxa"/>
              <w:left w:w="113" w:type="dxa"/>
              <w:bottom w:w="113" w:type="dxa"/>
              <w:right w:w="113" w:type="dxa"/>
            </w:tcMar>
            <w:vAlign w:val="center"/>
          </w:tcPr>
          <w:p w14:paraId="39E2B2D1" w14:textId="77777777" w:rsidR="00913BE8" w:rsidRPr="00AE09DE" w:rsidRDefault="00913BE8" w:rsidP="001025DA">
            <w:pPr>
              <w:pStyle w:val="CDIFigure-Table-BodyTextCentre"/>
            </w:pPr>
            <w:r w:rsidRPr="00AE09DE">
              <w:t>63</w:t>
            </w:r>
          </w:p>
        </w:tc>
        <w:tc>
          <w:tcPr>
            <w:tcW w:w="737" w:type="dxa"/>
            <w:tcBorders>
              <w:right w:val="single" w:sz="4" w:space="0" w:color="033636" w:themeColor="text2"/>
            </w:tcBorders>
            <w:tcMar>
              <w:top w:w="113" w:type="dxa"/>
              <w:left w:w="113" w:type="dxa"/>
              <w:bottom w:w="113" w:type="dxa"/>
              <w:right w:w="113" w:type="dxa"/>
            </w:tcMar>
            <w:vAlign w:val="center"/>
          </w:tcPr>
          <w:p w14:paraId="48F2DF0E" w14:textId="77777777" w:rsidR="00913BE8" w:rsidRPr="00AE09DE" w:rsidRDefault="00913BE8" w:rsidP="001025DA">
            <w:pPr>
              <w:pStyle w:val="CDIFigure-Table-BodyTextCentre"/>
            </w:pPr>
            <w:r w:rsidRPr="00AE09DE">
              <w:t>41</w:t>
            </w:r>
          </w:p>
        </w:tc>
        <w:tc>
          <w:tcPr>
            <w:tcW w:w="737" w:type="dxa"/>
            <w:tcBorders>
              <w:left w:val="single" w:sz="4" w:space="0" w:color="033636" w:themeColor="text2"/>
            </w:tcBorders>
            <w:tcMar>
              <w:top w:w="113" w:type="dxa"/>
              <w:left w:w="113" w:type="dxa"/>
              <w:bottom w:w="113" w:type="dxa"/>
              <w:right w:w="113" w:type="dxa"/>
            </w:tcMar>
            <w:vAlign w:val="center"/>
          </w:tcPr>
          <w:p w14:paraId="286401D7" w14:textId="77777777" w:rsidR="00913BE8" w:rsidRPr="00AE09DE" w:rsidRDefault="00913BE8" w:rsidP="001025DA">
            <w:pPr>
              <w:pStyle w:val="CDIFigure-Table-BodyTextCentre"/>
            </w:pPr>
            <w:r w:rsidRPr="00AE09DE">
              <w:t>1.05</w:t>
            </w:r>
          </w:p>
        </w:tc>
        <w:tc>
          <w:tcPr>
            <w:tcW w:w="1021" w:type="dxa"/>
            <w:tcBorders>
              <w:right w:val="single" w:sz="4" w:space="0" w:color="033636" w:themeColor="text2"/>
            </w:tcBorders>
            <w:tcMar>
              <w:top w:w="113" w:type="dxa"/>
              <w:left w:w="113" w:type="dxa"/>
              <w:bottom w:w="113" w:type="dxa"/>
              <w:right w:w="113" w:type="dxa"/>
            </w:tcMar>
            <w:vAlign w:val="center"/>
          </w:tcPr>
          <w:p w14:paraId="1FA76235" w14:textId="77777777" w:rsidR="00913BE8" w:rsidRPr="00AE09DE" w:rsidRDefault="00913BE8" w:rsidP="001025DA">
            <w:pPr>
              <w:pStyle w:val="CDIFigure-Table-BodyTextCentre"/>
            </w:pPr>
            <w:r w:rsidRPr="00AE09DE">
              <w:t>0.58–1.92</w:t>
            </w:r>
          </w:p>
        </w:tc>
        <w:tc>
          <w:tcPr>
            <w:tcW w:w="737" w:type="dxa"/>
            <w:tcBorders>
              <w:left w:val="single" w:sz="4" w:space="0" w:color="033636" w:themeColor="text2"/>
            </w:tcBorders>
            <w:tcMar>
              <w:top w:w="113" w:type="dxa"/>
              <w:left w:w="113" w:type="dxa"/>
              <w:bottom w:w="113" w:type="dxa"/>
              <w:right w:w="113" w:type="dxa"/>
            </w:tcMar>
            <w:vAlign w:val="center"/>
          </w:tcPr>
          <w:p w14:paraId="736F6192" w14:textId="77777777" w:rsidR="00913BE8" w:rsidRPr="00AE09DE" w:rsidRDefault="00913BE8" w:rsidP="001025DA">
            <w:pPr>
              <w:pStyle w:val="CDIFigure-Table-BodyTextCentre"/>
            </w:pPr>
            <w:r w:rsidRPr="00AE09DE">
              <w:t>0.69</w:t>
            </w:r>
          </w:p>
        </w:tc>
        <w:tc>
          <w:tcPr>
            <w:tcW w:w="1020" w:type="dxa"/>
            <w:tcBorders>
              <w:right w:val="single" w:sz="4" w:space="0" w:color="033636" w:themeColor="text2"/>
            </w:tcBorders>
            <w:tcMar>
              <w:top w:w="113" w:type="dxa"/>
              <w:left w:w="113" w:type="dxa"/>
              <w:bottom w:w="113" w:type="dxa"/>
              <w:right w:w="113" w:type="dxa"/>
            </w:tcMar>
            <w:vAlign w:val="center"/>
          </w:tcPr>
          <w:p w14:paraId="12FF0179" w14:textId="77777777" w:rsidR="00913BE8" w:rsidRPr="00AE09DE" w:rsidRDefault="00913BE8" w:rsidP="001025DA">
            <w:pPr>
              <w:pStyle w:val="CDIFigure-Table-BodyTextCentre"/>
            </w:pPr>
            <w:r w:rsidRPr="00AE09DE">
              <w:t>0.38–1.26</w:t>
            </w:r>
          </w:p>
        </w:tc>
        <w:tc>
          <w:tcPr>
            <w:tcW w:w="737" w:type="dxa"/>
            <w:tcBorders>
              <w:left w:val="single" w:sz="4" w:space="0" w:color="033636" w:themeColor="text2"/>
            </w:tcBorders>
            <w:tcMar>
              <w:top w:w="113" w:type="dxa"/>
              <w:left w:w="113" w:type="dxa"/>
              <w:bottom w:w="113" w:type="dxa"/>
              <w:right w:w="113" w:type="dxa"/>
            </w:tcMar>
            <w:vAlign w:val="center"/>
          </w:tcPr>
          <w:p w14:paraId="5BE833EE" w14:textId="77777777" w:rsidR="00913BE8" w:rsidRPr="00AE09DE" w:rsidRDefault="00913BE8" w:rsidP="001025DA">
            <w:pPr>
              <w:pStyle w:val="CDIFigure-Table-BodyTextCentre"/>
            </w:pPr>
            <w:r w:rsidRPr="00AE09DE">
              <w:t>1.49</w:t>
            </w:r>
          </w:p>
        </w:tc>
        <w:tc>
          <w:tcPr>
            <w:tcW w:w="1021" w:type="dxa"/>
            <w:tcBorders>
              <w:right w:val="single" w:sz="4" w:space="0" w:color="033636" w:themeColor="text2"/>
            </w:tcBorders>
            <w:tcMar>
              <w:top w:w="113" w:type="dxa"/>
              <w:left w:w="113" w:type="dxa"/>
              <w:bottom w:w="113" w:type="dxa"/>
              <w:right w:w="113" w:type="dxa"/>
            </w:tcMar>
            <w:vAlign w:val="center"/>
          </w:tcPr>
          <w:p w14:paraId="761D1B68" w14:textId="77777777" w:rsidR="00913BE8" w:rsidRPr="00AE09DE" w:rsidRDefault="00913BE8" w:rsidP="001025DA">
            <w:pPr>
              <w:pStyle w:val="CDIFigure-Table-BodyTextCentre"/>
            </w:pPr>
            <w:r w:rsidRPr="00AE09DE">
              <w:t>0.84–2.65</w:t>
            </w:r>
          </w:p>
        </w:tc>
        <w:tc>
          <w:tcPr>
            <w:tcW w:w="737" w:type="dxa"/>
            <w:tcBorders>
              <w:left w:val="single" w:sz="4" w:space="0" w:color="033636" w:themeColor="text2"/>
            </w:tcBorders>
            <w:tcMar>
              <w:top w:w="113" w:type="dxa"/>
              <w:left w:w="113" w:type="dxa"/>
              <w:bottom w:w="113" w:type="dxa"/>
              <w:right w:w="113" w:type="dxa"/>
            </w:tcMar>
            <w:vAlign w:val="center"/>
          </w:tcPr>
          <w:p w14:paraId="55B15ED7" w14:textId="77777777" w:rsidR="00913BE8" w:rsidRPr="00AE09DE" w:rsidRDefault="00913BE8" w:rsidP="001025DA">
            <w:pPr>
              <w:pStyle w:val="CDIFigure-Table-BodyTextCentre"/>
            </w:pPr>
            <w:r w:rsidRPr="00AE09DE">
              <w:t>0.98</w:t>
            </w:r>
          </w:p>
        </w:tc>
        <w:tc>
          <w:tcPr>
            <w:tcW w:w="1020" w:type="dxa"/>
            <w:tcMar>
              <w:top w:w="113" w:type="dxa"/>
              <w:left w:w="113" w:type="dxa"/>
              <w:bottom w:w="113" w:type="dxa"/>
              <w:right w:w="113" w:type="dxa"/>
            </w:tcMar>
            <w:vAlign w:val="center"/>
          </w:tcPr>
          <w:p w14:paraId="109033E7" w14:textId="77777777" w:rsidR="00913BE8" w:rsidRPr="00AE09DE" w:rsidRDefault="00913BE8" w:rsidP="001025DA">
            <w:pPr>
              <w:pStyle w:val="CDIFigure-Table-BodyTextCentre"/>
            </w:pPr>
            <w:r w:rsidRPr="00AE09DE">
              <w:t>0.55–1.75</w:t>
            </w:r>
          </w:p>
        </w:tc>
      </w:tr>
      <w:tr w:rsidR="00913BE8" w:rsidRPr="00AE09DE" w14:paraId="08CC33F3" w14:textId="77777777" w:rsidTr="00554FA2">
        <w:trPr>
          <w:divId w:val="935526654"/>
          <w:trHeight w:val="20"/>
        </w:trPr>
        <w:tc>
          <w:tcPr>
            <w:tcW w:w="1474" w:type="dxa"/>
            <w:shd w:val="clear" w:color="auto" w:fill="C5FFEF" w:themeFill="background2" w:themeFillTint="33"/>
          </w:tcPr>
          <w:p w14:paraId="0511CDCA" w14:textId="77777777" w:rsidR="00913BE8" w:rsidRPr="00AE09DE" w:rsidRDefault="00913BE8" w:rsidP="001025DA">
            <w:pPr>
              <w:pStyle w:val="CDIFigure-Table-BodyTextLeft"/>
            </w:pPr>
          </w:p>
        </w:tc>
        <w:tc>
          <w:tcPr>
            <w:tcW w:w="2891" w:type="dxa"/>
            <w:tcMar>
              <w:top w:w="113" w:type="dxa"/>
              <w:left w:w="113" w:type="dxa"/>
              <w:bottom w:w="113" w:type="dxa"/>
              <w:right w:w="113" w:type="dxa"/>
            </w:tcMar>
            <w:vAlign w:val="center"/>
          </w:tcPr>
          <w:p w14:paraId="17107861" w14:textId="77777777" w:rsidR="00913BE8" w:rsidRPr="00AE09DE" w:rsidRDefault="00913BE8" w:rsidP="001025DA">
            <w:pPr>
              <w:pStyle w:val="CDIFigure-Table-BodyTextLeft"/>
            </w:pPr>
            <w:r w:rsidRPr="00AE09DE">
              <w:t>Varicella zoster (unspecified)</w:t>
            </w:r>
          </w:p>
        </w:tc>
        <w:tc>
          <w:tcPr>
            <w:tcW w:w="737" w:type="dxa"/>
            <w:tcMar>
              <w:top w:w="113" w:type="dxa"/>
              <w:left w:w="113" w:type="dxa"/>
              <w:bottom w:w="113" w:type="dxa"/>
              <w:right w:w="113" w:type="dxa"/>
            </w:tcMar>
            <w:vAlign w:val="center"/>
          </w:tcPr>
          <w:p w14:paraId="6DE6EB57" w14:textId="77777777" w:rsidR="00913BE8" w:rsidRPr="00AE09DE" w:rsidRDefault="00913BE8" w:rsidP="001025DA">
            <w:pPr>
              <w:pStyle w:val="CDIFigure-Table-BodyTextCentre"/>
            </w:pPr>
            <w:r w:rsidRPr="00AE09DE">
              <w:t>51</w:t>
            </w:r>
          </w:p>
        </w:tc>
        <w:tc>
          <w:tcPr>
            <w:tcW w:w="794" w:type="dxa"/>
            <w:tcMar>
              <w:top w:w="113" w:type="dxa"/>
              <w:left w:w="113" w:type="dxa"/>
              <w:bottom w:w="113" w:type="dxa"/>
              <w:right w:w="113" w:type="dxa"/>
            </w:tcMar>
            <w:vAlign w:val="center"/>
          </w:tcPr>
          <w:p w14:paraId="4EDF5B18" w14:textId="77777777" w:rsidR="00913BE8" w:rsidRPr="00AE09DE" w:rsidRDefault="00913BE8" w:rsidP="001025DA">
            <w:pPr>
              <w:pStyle w:val="CDIFigure-Table-BodyTextCentre"/>
            </w:pPr>
            <w:r w:rsidRPr="00AE09DE">
              <w:t>57</w:t>
            </w:r>
          </w:p>
        </w:tc>
        <w:tc>
          <w:tcPr>
            <w:tcW w:w="737" w:type="dxa"/>
            <w:tcMar>
              <w:top w:w="113" w:type="dxa"/>
              <w:left w:w="113" w:type="dxa"/>
              <w:bottom w:w="113" w:type="dxa"/>
              <w:right w:w="113" w:type="dxa"/>
            </w:tcMar>
            <w:vAlign w:val="center"/>
          </w:tcPr>
          <w:p w14:paraId="69B69689" w14:textId="77777777" w:rsidR="00913BE8" w:rsidRPr="00AE09DE" w:rsidRDefault="00913BE8" w:rsidP="001025DA">
            <w:pPr>
              <w:pStyle w:val="CDIFigure-Table-BodyTextCentre"/>
            </w:pPr>
            <w:r w:rsidRPr="00AE09DE">
              <w:t>48</w:t>
            </w:r>
          </w:p>
        </w:tc>
        <w:tc>
          <w:tcPr>
            <w:tcW w:w="737" w:type="dxa"/>
            <w:tcBorders>
              <w:right w:val="single" w:sz="4" w:space="0" w:color="033636" w:themeColor="text2"/>
            </w:tcBorders>
            <w:tcMar>
              <w:top w:w="113" w:type="dxa"/>
              <w:left w:w="113" w:type="dxa"/>
              <w:bottom w:w="113" w:type="dxa"/>
              <w:right w:w="113" w:type="dxa"/>
            </w:tcMar>
            <w:vAlign w:val="center"/>
          </w:tcPr>
          <w:p w14:paraId="1CB9F86A" w14:textId="77777777" w:rsidR="00913BE8" w:rsidRPr="00AE09DE" w:rsidRDefault="00913BE8" w:rsidP="001025DA">
            <w:pPr>
              <w:pStyle w:val="CDIFigure-Table-BodyTextCentre"/>
            </w:pPr>
            <w:r w:rsidRPr="00AE09DE">
              <w:t>80</w:t>
            </w:r>
          </w:p>
        </w:tc>
        <w:tc>
          <w:tcPr>
            <w:tcW w:w="737" w:type="dxa"/>
            <w:tcBorders>
              <w:left w:val="single" w:sz="4" w:space="0" w:color="033636" w:themeColor="text2"/>
            </w:tcBorders>
            <w:tcMar>
              <w:top w:w="113" w:type="dxa"/>
              <w:left w:w="113" w:type="dxa"/>
              <w:bottom w:w="113" w:type="dxa"/>
              <w:right w:w="113" w:type="dxa"/>
            </w:tcMar>
            <w:vAlign w:val="center"/>
          </w:tcPr>
          <w:p w14:paraId="257BAA8A" w14:textId="77777777" w:rsidR="00913BE8" w:rsidRPr="00AE09DE" w:rsidRDefault="00913BE8" w:rsidP="001025DA">
            <w:pPr>
              <w:pStyle w:val="CDIFigure-Table-BodyTextCentre"/>
            </w:pPr>
            <w:r w:rsidRPr="00AE09DE">
              <w:t>0.94</w:t>
            </w:r>
          </w:p>
        </w:tc>
        <w:tc>
          <w:tcPr>
            <w:tcW w:w="1021" w:type="dxa"/>
            <w:tcBorders>
              <w:right w:val="single" w:sz="4" w:space="0" w:color="033636" w:themeColor="text2"/>
            </w:tcBorders>
            <w:tcMar>
              <w:top w:w="113" w:type="dxa"/>
              <w:left w:w="113" w:type="dxa"/>
              <w:bottom w:w="113" w:type="dxa"/>
              <w:right w:w="113" w:type="dxa"/>
            </w:tcMar>
            <w:vAlign w:val="center"/>
          </w:tcPr>
          <w:p w14:paraId="144A342C" w14:textId="77777777" w:rsidR="00913BE8" w:rsidRPr="00AE09DE" w:rsidRDefault="00913BE8" w:rsidP="001025DA">
            <w:pPr>
              <w:pStyle w:val="CDIFigure-Table-BodyTextCentre"/>
            </w:pPr>
            <w:r w:rsidRPr="00AE09DE">
              <w:t>0.78–1.14</w:t>
            </w:r>
          </w:p>
        </w:tc>
        <w:tc>
          <w:tcPr>
            <w:tcW w:w="737" w:type="dxa"/>
            <w:tcBorders>
              <w:left w:val="single" w:sz="4" w:space="0" w:color="033636" w:themeColor="text2"/>
            </w:tcBorders>
            <w:tcMar>
              <w:top w:w="113" w:type="dxa"/>
              <w:left w:w="113" w:type="dxa"/>
              <w:bottom w:w="113" w:type="dxa"/>
              <w:right w:w="113" w:type="dxa"/>
            </w:tcMar>
            <w:vAlign w:val="center"/>
          </w:tcPr>
          <w:p w14:paraId="7DC02CC2" w14:textId="77777777" w:rsidR="00913BE8" w:rsidRPr="00AE09DE" w:rsidRDefault="00913BE8" w:rsidP="001025DA">
            <w:pPr>
              <w:pStyle w:val="CDIFigure-Table-BodyTextCentre"/>
            </w:pPr>
            <w:r w:rsidRPr="00AE09DE">
              <w:t>1.55</w:t>
            </w:r>
          </w:p>
        </w:tc>
        <w:tc>
          <w:tcPr>
            <w:tcW w:w="1020" w:type="dxa"/>
            <w:tcBorders>
              <w:right w:val="single" w:sz="4" w:space="0" w:color="033636" w:themeColor="text2"/>
            </w:tcBorders>
            <w:tcMar>
              <w:top w:w="113" w:type="dxa"/>
              <w:left w:w="113" w:type="dxa"/>
              <w:bottom w:w="113" w:type="dxa"/>
              <w:right w:w="113" w:type="dxa"/>
            </w:tcMar>
            <w:vAlign w:val="center"/>
          </w:tcPr>
          <w:p w14:paraId="50821832" w14:textId="77777777" w:rsidR="00913BE8" w:rsidRPr="00AE09DE" w:rsidRDefault="00913BE8" w:rsidP="001025DA">
            <w:pPr>
              <w:pStyle w:val="CDIFigure-Table-BodyTextCentre"/>
            </w:pPr>
            <w:r w:rsidRPr="00AE09DE">
              <w:t>1.28–1.88</w:t>
            </w:r>
          </w:p>
        </w:tc>
        <w:tc>
          <w:tcPr>
            <w:tcW w:w="737" w:type="dxa"/>
            <w:tcBorders>
              <w:left w:val="single" w:sz="4" w:space="0" w:color="033636" w:themeColor="text2"/>
            </w:tcBorders>
            <w:tcMar>
              <w:top w:w="113" w:type="dxa"/>
              <w:left w:w="113" w:type="dxa"/>
              <w:bottom w:w="113" w:type="dxa"/>
              <w:right w:w="113" w:type="dxa"/>
            </w:tcMar>
            <w:vAlign w:val="center"/>
          </w:tcPr>
          <w:p w14:paraId="29E70A9C" w14:textId="77777777" w:rsidR="00913BE8" w:rsidRPr="00AE09DE" w:rsidRDefault="00913BE8" w:rsidP="001025DA">
            <w:pPr>
              <w:pStyle w:val="CDIFigure-Table-BodyTextCentre"/>
            </w:pPr>
            <w:r w:rsidRPr="00AE09DE">
              <w:t>0.85</w:t>
            </w:r>
          </w:p>
        </w:tc>
        <w:tc>
          <w:tcPr>
            <w:tcW w:w="1021" w:type="dxa"/>
            <w:tcBorders>
              <w:right w:val="single" w:sz="4" w:space="0" w:color="033636" w:themeColor="text2"/>
            </w:tcBorders>
            <w:tcMar>
              <w:top w:w="113" w:type="dxa"/>
              <w:left w:w="113" w:type="dxa"/>
              <w:bottom w:w="113" w:type="dxa"/>
              <w:right w:w="113" w:type="dxa"/>
            </w:tcMar>
            <w:vAlign w:val="center"/>
          </w:tcPr>
          <w:p w14:paraId="1F8ED159" w14:textId="77777777" w:rsidR="00913BE8" w:rsidRPr="00AE09DE" w:rsidRDefault="00913BE8" w:rsidP="001025DA">
            <w:pPr>
              <w:pStyle w:val="CDIFigure-Table-BodyTextCentre"/>
            </w:pPr>
            <w:r w:rsidRPr="00AE09DE">
              <w:t>0.71–1.01</w:t>
            </w:r>
          </w:p>
        </w:tc>
        <w:tc>
          <w:tcPr>
            <w:tcW w:w="737" w:type="dxa"/>
            <w:tcBorders>
              <w:left w:val="single" w:sz="4" w:space="0" w:color="033636" w:themeColor="text2"/>
            </w:tcBorders>
            <w:tcMar>
              <w:top w:w="113" w:type="dxa"/>
              <w:left w:w="113" w:type="dxa"/>
              <w:bottom w:w="113" w:type="dxa"/>
              <w:right w:w="113" w:type="dxa"/>
            </w:tcMar>
            <w:vAlign w:val="center"/>
          </w:tcPr>
          <w:p w14:paraId="45021288" w14:textId="77777777" w:rsidR="00913BE8" w:rsidRPr="00AE09DE" w:rsidRDefault="00913BE8" w:rsidP="001025DA">
            <w:pPr>
              <w:pStyle w:val="CDIFigure-Table-BodyTextCentre"/>
            </w:pPr>
            <w:r w:rsidRPr="00AE09DE">
              <w:t>1.39</w:t>
            </w:r>
          </w:p>
        </w:tc>
        <w:tc>
          <w:tcPr>
            <w:tcW w:w="1020" w:type="dxa"/>
            <w:tcMar>
              <w:top w:w="113" w:type="dxa"/>
              <w:left w:w="113" w:type="dxa"/>
              <w:bottom w:w="113" w:type="dxa"/>
              <w:right w:w="113" w:type="dxa"/>
            </w:tcMar>
            <w:vAlign w:val="center"/>
          </w:tcPr>
          <w:p w14:paraId="7B8DC504" w14:textId="77777777" w:rsidR="00913BE8" w:rsidRPr="00AE09DE" w:rsidRDefault="00913BE8" w:rsidP="001025DA">
            <w:pPr>
              <w:pStyle w:val="CDIFigure-Table-BodyTextCentre"/>
            </w:pPr>
            <w:r w:rsidRPr="00AE09DE">
              <w:t>1.17–1.66</w:t>
            </w:r>
          </w:p>
        </w:tc>
      </w:tr>
      <w:tr w:rsidR="00913BE8" w:rsidRPr="00AE09DE" w14:paraId="5A5D433A" w14:textId="77777777" w:rsidTr="00554FA2">
        <w:trPr>
          <w:divId w:val="935526654"/>
          <w:trHeight w:val="20"/>
        </w:trPr>
        <w:tc>
          <w:tcPr>
            <w:tcW w:w="1474" w:type="dxa"/>
            <w:tcBorders>
              <w:bottom w:val="single" w:sz="4" w:space="0" w:color="033636" w:themeColor="text2"/>
            </w:tcBorders>
            <w:shd w:val="clear" w:color="auto" w:fill="C5FFEF" w:themeFill="background2" w:themeFillTint="33"/>
          </w:tcPr>
          <w:p w14:paraId="1CF1B0BE" w14:textId="77777777" w:rsidR="00913BE8" w:rsidRPr="00AE09DE" w:rsidRDefault="00913BE8" w:rsidP="001025DA">
            <w:pPr>
              <w:pStyle w:val="CDIFigure-Table-BodyTextLeft"/>
            </w:pPr>
          </w:p>
        </w:tc>
        <w:tc>
          <w:tcPr>
            <w:tcW w:w="2891" w:type="dxa"/>
            <w:tcBorders>
              <w:bottom w:val="single" w:sz="4" w:space="0" w:color="033636" w:themeColor="text2"/>
            </w:tcBorders>
            <w:tcMar>
              <w:top w:w="113" w:type="dxa"/>
              <w:left w:w="113" w:type="dxa"/>
              <w:bottom w:w="113" w:type="dxa"/>
              <w:right w:w="113" w:type="dxa"/>
            </w:tcMar>
            <w:vAlign w:val="center"/>
          </w:tcPr>
          <w:p w14:paraId="7F163D17" w14:textId="77777777" w:rsidR="00913BE8" w:rsidRPr="00AE09DE" w:rsidRDefault="00913BE8" w:rsidP="001025DA">
            <w:pPr>
              <w:pStyle w:val="CDIFigure-Table-BodyTextLeft"/>
            </w:pPr>
            <w:r w:rsidRPr="00AE09DE">
              <w:t>All varicella</w:t>
            </w:r>
          </w:p>
        </w:tc>
        <w:tc>
          <w:tcPr>
            <w:tcW w:w="737" w:type="dxa"/>
            <w:tcBorders>
              <w:bottom w:val="single" w:sz="4" w:space="0" w:color="033636" w:themeColor="text2"/>
            </w:tcBorders>
            <w:tcMar>
              <w:top w:w="113" w:type="dxa"/>
              <w:left w:w="113" w:type="dxa"/>
              <w:bottom w:w="113" w:type="dxa"/>
              <w:right w:w="113" w:type="dxa"/>
            </w:tcMar>
            <w:vAlign w:val="center"/>
          </w:tcPr>
          <w:p w14:paraId="133293EB" w14:textId="77777777" w:rsidR="00913BE8" w:rsidRPr="00AE09DE" w:rsidRDefault="00913BE8" w:rsidP="001025DA">
            <w:pPr>
              <w:pStyle w:val="CDIFigure-Table-BodyTextCentre"/>
            </w:pPr>
            <w:r w:rsidRPr="00AE09DE">
              <w:t>128</w:t>
            </w:r>
          </w:p>
        </w:tc>
        <w:tc>
          <w:tcPr>
            <w:tcW w:w="794" w:type="dxa"/>
            <w:tcBorders>
              <w:bottom w:val="single" w:sz="4" w:space="0" w:color="033636" w:themeColor="text2"/>
            </w:tcBorders>
            <w:tcMar>
              <w:top w:w="113" w:type="dxa"/>
              <w:left w:w="113" w:type="dxa"/>
              <w:bottom w:w="113" w:type="dxa"/>
              <w:right w:w="113" w:type="dxa"/>
            </w:tcMar>
            <w:vAlign w:val="center"/>
          </w:tcPr>
          <w:p w14:paraId="16615BE4" w14:textId="77777777" w:rsidR="00913BE8" w:rsidRPr="00AE09DE" w:rsidRDefault="00913BE8" w:rsidP="001025DA">
            <w:pPr>
              <w:pStyle w:val="CDIFigure-Table-BodyTextCentre"/>
            </w:pPr>
            <w:r w:rsidRPr="00AE09DE">
              <w:t>113</w:t>
            </w:r>
          </w:p>
        </w:tc>
        <w:tc>
          <w:tcPr>
            <w:tcW w:w="737" w:type="dxa"/>
            <w:tcBorders>
              <w:bottom w:val="single" w:sz="4" w:space="0" w:color="033636" w:themeColor="text2"/>
            </w:tcBorders>
            <w:tcMar>
              <w:top w:w="113" w:type="dxa"/>
              <w:left w:w="113" w:type="dxa"/>
              <w:bottom w:w="113" w:type="dxa"/>
              <w:right w:w="113" w:type="dxa"/>
            </w:tcMar>
            <w:vAlign w:val="center"/>
          </w:tcPr>
          <w:p w14:paraId="300EF22D" w14:textId="77777777" w:rsidR="00913BE8" w:rsidRPr="00AE09DE" w:rsidRDefault="00913BE8" w:rsidP="001025DA">
            <w:pPr>
              <w:pStyle w:val="CDIFigure-Table-BodyTextCentre"/>
            </w:pPr>
            <w:r w:rsidRPr="00AE09DE">
              <w:t>122</w:t>
            </w:r>
          </w:p>
        </w:tc>
        <w:tc>
          <w:tcPr>
            <w:tcW w:w="737"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86D729A" w14:textId="77777777" w:rsidR="00913BE8" w:rsidRPr="00AE09DE" w:rsidRDefault="00913BE8" w:rsidP="001025DA">
            <w:pPr>
              <w:pStyle w:val="CDIFigure-Table-BodyTextCentre"/>
            </w:pPr>
            <w:r w:rsidRPr="00AE09DE">
              <w:t>129</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9D25803" w14:textId="77777777" w:rsidR="00913BE8" w:rsidRPr="00AE09DE" w:rsidRDefault="00913BE8" w:rsidP="001025DA">
            <w:pPr>
              <w:pStyle w:val="CDIFigure-Table-BodyTextCentre"/>
            </w:pPr>
            <w:r w:rsidRPr="00AE09DE">
              <w:t>0.95</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5872B4F" w14:textId="77777777" w:rsidR="00913BE8" w:rsidRPr="00AE09DE" w:rsidRDefault="00913BE8" w:rsidP="001025DA">
            <w:pPr>
              <w:pStyle w:val="CDIFigure-Table-BodyTextCentre"/>
            </w:pPr>
            <w:r w:rsidRPr="00AE09DE">
              <w:t>0.76–1.20</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D951C5D" w14:textId="77777777" w:rsidR="00913BE8" w:rsidRPr="00AE09DE" w:rsidRDefault="00913BE8" w:rsidP="001025DA">
            <w:pPr>
              <w:pStyle w:val="CDIFigure-Table-BodyTextCentre"/>
            </w:pPr>
            <w:r w:rsidRPr="00AE09DE">
              <w:t>1.00</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C6DEB22" w14:textId="77777777" w:rsidR="00913BE8" w:rsidRPr="00AE09DE" w:rsidRDefault="00913BE8" w:rsidP="001025DA">
            <w:pPr>
              <w:pStyle w:val="CDIFigure-Table-BodyTextCentre"/>
            </w:pPr>
            <w:r w:rsidRPr="00AE09DE">
              <w:t>0.80–1.26</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FE25EE7" w14:textId="77777777" w:rsidR="00913BE8" w:rsidRPr="00AE09DE" w:rsidRDefault="00913BE8" w:rsidP="001025DA">
            <w:pPr>
              <w:pStyle w:val="CDIFigure-Table-BodyTextCentre"/>
            </w:pPr>
            <w:r w:rsidRPr="00AE09DE">
              <w:t>1.08</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1A5F9ECF" w14:textId="77777777" w:rsidR="00913BE8" w:rsidRPr="00AE09DE" w:rsidRDefault="00913BE8" w:rsidP="001025DA">
            <w:pPr>
              <w:pStyle w:val="CDIFigure-Table-BodyTextCentre"/>
            </w:pPr>
            <w:r w:rsidRPr="00AE09DE">
              <w:t>0.87–1.33</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15C2B56" w14:textId="77777777" w:rsidR="00913BE8" w:rsidRPr="00AE09DE" w:rsidRDefault="00913BE8" w:rsidP="001025DA">
            <w:pPr>
              <w:pStyle w:val="CDIFigure-Table-BodyTextCentre"/>
            </w:pPr>
            <w:r w:rsidRPr="00AE09DE">
              <w:t>1.13</w:t>
            </w:r>
          </w:p>
        </w:tc>
        <w:tc>
          <w:tcPr>
            <w:tcW w:w="1020" w:type="dxa"/>
            <w:tcBorders>
              <w:bottom w:val="single" w:sz="4" w:space="0" w:color="033636" w:themeColor="text2"/>
            </w:tcBorders>
            <w:tcMar>
              <w:top w:w="113" w:type="dxa"/>
              <w:left w:w="113" w:type="dxa"/>
              <w:bottom w:w="113" w:type="dxa"/>
              <w:right w:w="113" w:type="dxa"/>
            </w:tcMar>
            <w:vAlign w:val="center"/>
          </w:tcPr>
          <w:p w14:paraId="27F76EAA" w14:textId="77777777" w:rsidR="00913BE8" w:rsidRPr="00AE09DE" w:rsidRDefault="00913BE8" w:rsidP="001025DA">
            <w:pPr>
              <w:pStyle w:val="CDIFigure-Table-BodyTextCentre"/>
            </w:pPr>
            <w:r w:rsidRPr="00AE09DE">
              <w:t>0.92–1.40</w:t>
            </w:r>
          </w:p>
        </w:tc>
      </w:tr>
      <w:tr w:rsidR="00554FA2" w:rsidRPr="00AE09DE" w14:paraId="7F6CF48B" w14:textId="77777777" w:rsidTr="00554FA2">
        <w:trPr>
          <w:divId w:val="935526654"/>
          <w:trHeight w:val="20"/>
        </w:trPr>
        <w:tc>
          <w:tcPr>
            <w:tcW w:w="147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6E8EF3F" w14:textId="77777777" w:rsidR="00AE09DE" w:rsidRPr="00AE09DE" w:rsidRDefault="00AE09DE" w:rsidP="001025DA">
            <w:pPr>
              <w:pStyle w:val="CDIFigure-Table-BodyTextLeft"/>
            </w:pPr>
            <w:r w:rsidRPr="00AE09DE">
              <w:t>Zoonotic diseases</w:t>
            </w:r>
          </w:p>
        </w:tc>
        <w:tc>
          <w:tcPr>
            <w:tcW w:w="2891" w:type="dxa"/>
            <w:tcBorders>
              <w:top w:val="single" w:sz="4" w:space="0" w:color="033636" w:themeColor="text2"/>
            </w:tcBorders>
            <w:tcMar>
              <w:top w:w="113" w:type="dxa"/>
              <w:left w:w="113" w:type="dxa"/>
              <w:bottom w:w="113" w:type="dxa"/>
              <w:right w:w="113" w:type="dxa"/>
            </w:tcMar>
            <w:vAlign w:val="center"/>
          </w:tcPr>
          <w:p w14:paraId="712F224B" w14:textId="77777777" w:rsidR="00AE09DE" w:rsidRPr="00AE09DE" w:rsidRDefault="00AE09DE" w:rsidP="001025DA">
            <w:pPr>
              <w:pStyle w:val="CDIFigure-Table-BodyTextLeft"/>
            </w:pPr>
            <w:r w:rsidRPr="00AE09DE">
              <w:t>Brucellosis</w:t>
            </w:r>
          </w:p>
        </w:tc>
        <w:tc>
          <w:tcPr>
            <w:tcW w:w="737" w:type="dxa"/>
            <w:tcBorders>
              <w:top w:val="single" w:sz="4" w:space="0" w:color="033636" w:themeColor="text2"/>
            </w:tcBorders>
            <w:tcMar>
              <w:top w:w="113" w:type="dxa"/>
              <w:left w:w="113" w:type="dxa"/>
              <w:bottom w:w="113" w:type="dxa"/>
              <w:right w:w="113" w:type="dxa"/>
            </w:tcMar>
            <w:vAlign w:val="center"/>
          </w:tcPr>
          <w:p w14:paraId="3843925B" w14:textId="77777777" w:rsidR="00AE09DE" w:rsidRPr="00AE09DE" w:rsidRDefault="00AE09DE" w:rsidP="001025DA">
            <w:pPr>
              <w:pStyle w:val="CDIFigure-Table-BodyTextCentre"/>
            </w:pPr>
            <w:r w:rsidRPr="00AE09DE">
              <w:t>0.04</w:t>
            </w:r>
          </w:p>
        </w:tc>
        <w:tc>
          <w:tcPr>
            <w:tcW w:w="794" w:type="dxa"/>
            <w:tcBorders>
              <w:top w:val="single" w:sz="4" w:space="0" w:color="033636" w:themeColor="text2"/>
            </w:tcBorders>
            <w:tcMar>
              <w:top w:w="113" w:type="dxa"/>
              <w:left w:w="113" w:type="dxa"/>
              <w:bottom w:w="113" w:type="dxa"/>
              <w:right w:w="113" w:type="dxa"/>
            </w:tcMar>
            <w:vAlign w:val="center"/>
          </w:tcPr>
          <w:p w14:paraId="13527152" w14:textId="77777777" w:rsidR="00AE09DE" w:rsidRPr="00AE09DE" w:rsidRDefault="00AE09DE" w:rsidP="001025DA">
            <w:pPr>
              <w:pStyle w:val="CDIFigure-Table-BodyTextCentre"/>
            </w:pPr>
            <w:r w:rsidRPr="00AE09DE">
              <w:t>0.08</w:t>
            </w:r>
          </w:p>
        </w:tc>
        <w:tc>
          <w:tcPr>
            <w:tcW w:w="737" w:type="dxa"/>
            <w:tcBorders>
              <w:top w:val="single" w:sz="4" w:space="0" w:color="033636" w:themeColor="text2"/>
            </w:tcBorders>
            <w:tcMar>
              <w:top w:w="113" w:type="dxa"/>
              <w:left w:w="113" w:type="dxa"/>
              <w:bottom w:w="113" w:type="dxa"/>
              <w:right w:w="113" w:type="dxa"/>
            </w:tcMar>
            <w:vAlign w:val="center"/>
          </w:tcPr>
          <w:p w14:paraId="5CD21C79" w14:textId="77777777" w:rsidR="00AE09DE" w:rsidRPr="00AE09DE" w:rsidRDefault="00AE09DE" w:rsidP="001025DA">
            <w:pPr>
              <w:pStyle w:val="CDIFigure-Table-BodyTextCentre"/>
            </w:pPr>
            <w:r w:rsidRPr="00AE09DE">
              <w:t>0.07</w:t>
            </w:r>
          </w:p>
        </w:tc>
        <w:tc>
          <w:tcPr>
            <w:tcW w:w="737"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39B24F4" w14:textId="77777777" w:rsidR="00AE09DE" w:rsidRPr="00AE09DE" w:rsidRDefault="00AE09DE" w:rsidP="001025DA">
            <w:pPr>
              <w:pStyle w:val="CDIFigure-Table-BodyTextCentre"/>
            </w:pPr>
            <w:r w:rsidRPr="00AE09DE">
              <w:t>0.06</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71E553B1" w14:textId="77777777" w:rsidR="00AE09DE" w:rsidRPr="00AE09DE" w:rsidRDefault="00AE09DE" w:rsidP="001025DA">
            <w:pPr>
              <w:pStyle w:val="CDIFigure-Table-BodyTextCentre"/>
            </w:pPr>
            <w:r w:rsidRPr="00AE09DE">
              <w:t>1.99</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5C8B034" w14:textId="77777777" w:rsidR="00AE09DE" w:rsidRPr="00AE09DE" w:rsidRDefault="00AE09DE" w:rsidP="001025DA">
            <w:pPr>
              <w:pStyle w:val="CDIFigure-Table-BodyTextCentre"/>
            </w:pPr>
            <w:r w:rsidRPr="00AE09DE">
              <w:t>0.89–4.43</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7F1C7AF3" w14:textId="77777777" w:rsidR="00AE09DE" w:rsidRPr="00AE09DE" w:rsidRDefault="00AE09DE" w:rsidP="001025DA">
            <w:pPr>
              <w:pStyle w:val="CDIFigure-Table-BodyTextCentre"/>
            </w:pPr>
            <w:r w:rsidRPr="00AE09DE">
              <w:t>1.77</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2A5C819" w14:textId="77777777" w:rsidR="00AE09DE" w:rsidRPr="00AE09DE" w:rsidRDefault="00AE09DE" w:rsidP="001025DA">
            <w:pPr>
              <w:pStyle w:val="CDIFigure-Table-BodyTextCentre"/>
            </w:pPr>
            <w:r w:rsidRPr="00AE09DE">
              <w:t>0.78–3.99</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CFA1876" w14:textId="77777777" w:rsidR="00AE09DE" w:rsidRPr="00AE09DE" w:rsidRDefault="00AE09DE" w:rsidP="001025DA">
            <w:pPr>
              <w:pStyle w:val="CDIFigure-Table-BodyTextCentre"/>
            </w:pPr>
            <w:r w:rsidRPr="00AE09DE">
              <w:t>0.92</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1189353F" w14:textId="77777777" w:rsidR="00AE09DE" w:rsidRPr="00AE09DE" w:rsidRDefault="00AE09DE" w:rsidP="001025DA">
            <w:pPr>
              <w:pStyle w:val="CDIFigure-Table-BodyTextCentre"/>
            </w:pPr>
            <w:r w:rsidRPr="00AE09DE">
              <w:t>0.50–1.72</w:t>
            </w:r>
          </w:p>
        </w:tc>
        <w:tc>
          <w:tcPr>
            <w:tcW w:w="737"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7CC7C37" w14:textId="77777777" w:rsidR="00AE09DE" w:rsidRPr="00AE09DE" w:rsidRDefault="00AE09DE" w:rsidP="001025DA">
            <w:pPr>
              <w:pStyle w:val="CDIFigure-Table-BodyTextCentre"/>
            </w:pPr>
            <w:r w:rsidRPr="00AE09DE">
              <w:t>0.82</w:t>
            </w:r>
          </w:p>
        </w:tc>
        <w:tc>
          <w:tcPr>
            <w:tcW w:w="1020" w:type="dxa"/>
            <w:tcBorders>
              <w:top w:val="single" w:sz="4" w:space="0" w:color="033636" w:themeColor="text2"/>
            </w:tcBorders>
            <w:tcMar>
              <w:top w:w="113" w:type="dxa"/>
              <w:left w:w="113" w:type="dxa"/>
              <w:bottom w:w="113" w:type="dxa"/>
              <w:right w:w="113" w:type="dxa"/>
            </w:tcMar>
            <w:vAlign w:val="center"/>
          </w:tcPr>
          <w:p w14:paraId="5AC62B03" w14:textId="77777777" w:rsidR="00AE09DE" w:rsidRPr="00AE09DE" w:rsidRDefault="00AE09DE" w:rsidP="001025DA">
            <w:pPr>
              <w:pStyle w:val="CDIFigure-Table-BodyTextCentre"/>
            </w:pPr>
            <w:r w:rsidRPr="00AE09DE">
              <w:t>0.43–1.55</w:t>
            </w:r>
          </w:p>
        </w:tc>
      </w:tr>
      <w:tr w:rsidR="00554FA2" w:rsidRPr="00AE09DE" w14:paraId="4135B321"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11EE6C43" w14:textId="77777777" w:rsidR="00AE09DE" w:rsidRPr="00AE09DE" w:rsidRDefault="00AE09DE" w:rsidP="00AE09DE"/>
        </w:tc>
        <w:tc>
          <w:tcPr>
            <w:tcW w:w="2891" w:type="dxa"/>
            <w:tcMar>
              <w:top w:w="113" w:type="dxa"/>
              <w:left w:w="113" w:type="dxa"/>
              <w:bottom w:w="113" w:type="dxa"/>
              <w:right w:w="113" w:type="dxa"/>
            </w:tcMar>
            <w:vAlign w:val="center"/>
          </w:tcPr>
          <w:p w14:paraId="02BC123F" w14:textId="77777777" w:rsidR="00AE09DE" w:rsidRPr="00AE09DE" w:rsidRDefault="00AE09DE" w:rsidP="001025DA">
            <w:pPr>
              <w:pStyle w:val="CDIFigure-Table-BodyTextLeft"/>
            </w:pPr>
            <w:r w:rsidRPr="00AE09DE">
              <w:t>Creutzfeld-Jakob disease</w:t>
            </w:r>
          </w:p>
        </w:tc>
        <w:tc>
          <w:tcPr>
            <w:tcW w:w="737" w:type="dxa"/>
            <w:tcMar>
              <w:top w:w="113" w:type="dxa"/>
              <w:left w:w="113" w:type="dxa"/>
              <w:bottom w:w="113" w:type="dxa"/>
              <w:right w:w="113" w:type="dxa"/>
            </w:tcMar>
            <w:vAlign w:val="center"/>
          </w:tcPr>
          <w:p w14:paraId="0414AE71" w14:textId="77777777" w:rsidR="00AE09DE" w:rsidRPr="00AE09DE" w:rsidRDefault="00AE09DE" w:rsidP="001025DA">
            <w:pPr>
              <w:pStyle w:val="CDIFigure-Table-BodyTextCentre"/>
            </w:pPr>
            <w:r w:rsidRPr="00AE09DE">
              <w:t>0.16</w:t>
            </w:r>
          </w:p>
        </w:tc>
        <w:tc>
          <w:tcPr>
            <w:tcW w:w="794" w:type="dxa"/>
            <w:tcMar>
              <w:top w:w="113" w:type="dxa"/>
              <w:left w:w="113" w:type="dxa"/>
              <w:bottom w:w="113" w:type="dxa"/>
              <w:right w:w="113" w:type="dxa"/>
            </w:tcMar>
            <w:vAlign w:val="center"/>
          </w:tcPr>
          <w:p w14:paraId="2874D755" w14:textId="77777777" w:rsidR="00AE09DE" w:rsidRPr="00AE09DE" w:rsidRDefault="00AE09DE" w:rsidP="001025DA">
            <w:pPr>
              <w:pStyle w:val="CDIFigure-Table-BodyTextCentre"/>
            </w:pPr>
            <w:r w:rsidRPr="00AE09DE">
              <w:t>0.16</w:t>
            </w:r>
          </w:p>
        </w:tc>
        <w:tc>
          <w:tcPr>
            <w:tcW w:w="737" w:type="dxa"/>
            <w:tcMar>
              <w:top w:w="113" w:type="dxa"/>
              <w:left w:w="113" w:type="dxa"/>
              <w:bottom w:w="113" w:type="dxa"/>
              <w:right w:w="113" w:type="dxa"/>
            </w:tcMar>
            <w:vAlign w:val="center"/>
          </w:tcPr>
          <w:p w14:paraId="25759DC8" w14:textId="77777777" w:rsidR="00AE09DE" w:rsidRPr="00AE09DE" w:rsidRDefault="00AE09DE" w:rsidP="001025DA">
            <w:pPr>
              <w:pStyle w:val="CDIFigure-Table-BodyTextCentre"/>
            </w:pPr>
            <w:r w:rsidRPr="00AE09DE">
              <w:t>0.12</w:t>
            </w:r>
          </w:p>
        </w:tc>
        <w:tc>
          <w:tcPr>
            <w:tcW w:w="737" w:type="dxa"/>
            <w:tcBorders>
              <w:right w:val="single" w:sz="4" w:space="0" w:color="033636" w:themeColor="text2"/>
            </w:tcBorders>
            <w:tcMar>
              <w:top w:w="113" w:type="dxa"/>
              <w:left w:w="113" w:type="dxa"/>
              <w:bottom w:w="113" w:type="dxa"/>
              <w:right w:w="113" w:type="dxa"/>
            </w:tcMar>
            <w:vAlign w:val="center"/>
          </w:tcPr>
          <w:p w14:paraId="2C32B7F1" w14:textId="77777777" w:rsidR="00AE09DE" w:rsidRPr="00AE09DE" w:rsidRDefault="00AE09DE" w:rsidP="001025DA">
            <w:pPr>
              <w:pStyle w:val="CDIFigure-Table-BodyTextCentre"/>
            </w:pPr>
            <w:r w:rsidRPr="00AE09DE">
              <w:t>0.10</w:t>
            </w:r>
          </w:p>
        </w:tc>
        <w:tc>
          <w:tcPr>
            <w:tcW w:w="737" w:type="dxa"/>
            <w:tcBorders>
              <w:left w:val="single" w:sz="4" w:space="0" w:color="033636" w:themeColor="text2"/>
            </w:tcBorders>
            <w:tcMar>
              <w:top w:w="113" w:type="dxa"/>
              <w:left w:w="113" w:type="dxa"/>
              <w:bottom w:w="113" w:type="dxa"/>
              <w:right w:w="113" w:type="dxa"/>
            </w:tcMar>
            <w:vAlign w:val="center"/>
          </w:tcPr>
          <w:p w14:paraId="30C7762D" w14:textId="77777777" w:rsidR="00AE09DE" w:rsidRPr="00AE09DE" w:rsidRDefault="00AE09DE" w:rsidP="001025DA">
            <w:pPr>
              <w:pStyle w:val="CDIFigure-Table-BodyTextCentre"/>
            </w:pPr>
            <w:r w:rsidRPr="00AE09DE">
              <w:t>0.75</w:t>
            </w:r>
          </w:p>
        </w:tc>
        <w:tc>
          <w:tcPr>
            <w:tcW w:w="1021" w:type="dxa"/>
            <w:tcBorders>
              <w:right w:val="single" w:sz="4" w:space="0" w:color="033636" w:themeColor="text2"/>
            </w:tcBorders>
            <w:tcMar>
              <w:top w:w="113" w:type="dxa"/>
              <w:left w:w="113" w:type="dxa"/>
              <w:bottom w:w="113" w:type="dxa"/>
              <w:right w:w="113" w:type="dxa"/>
            </w:tcMar>
            <w:vAlign w:val="center"/>
          </w:tcPr>
          <w:p w14:paraId="6F0D6177" w14:textId="77777777" w:rsidR="00AE09DE" w:rsidRPr="00AE09DE" w:rsidRDefault="00AE09DE" w:rsidP="001025DA">
            <w:pPr>
              <w:pStyle w:val="CDIFigure-Table-BodyTextCentre"/>
            </w:pPr>
            <w:r w:rsidRPr="00AE09DE">
              <w:t>0.47–1.20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6F6114DE" w14:textId="77777777" w:rsidR="00AE09DE" w:rsidRPr="00AE09DE" w:rsidRDefault="00AE09DE" w:rsidP="001025DA">
            <w:pPr>
              <w:pStyle w:val="CDIFigure-Table-BodyTextCentre"/>
            </w:pPr>
            <w:r w:rsidRPr="00AE09DE">
              <w:t>0.61</w:t>
            </w:r>
          </w:p>
        </w:tc>
        <w:tc>
          <w:tcPr>
            <w:tcW w:w="1020" w:type="dxa"/>
            <w:tcBorders>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7A6A69D4" w14:textId="77777777" w:rsidR="00AE09DE" w:rsidRPr="00AE09DE" w:rsidRDefault="00AE09DE" w:rsidP="001025DA">
            <w:pPr>
              <w:pStyle w:val="CDIFigure-Table-BodyTextCentre"/>
            </w:pPr>
            <w:r w:rsidRPr="00AE09DE">
              <w:t>0.37–1.00</w:t>
            </w:r>
          </w:p>
        </w:tc>
        <w:tc>
          <w:tcPr>
            <w:tcW w:w="737" w:type="dxa"/>
            <w:tcBorders>
              <w:left w:val="single" w:sz="4" w:space="0" w:color="033636" w:themeColor="text2"/>
            </w:tcBorders>
            <w:tcMar>
              <w:top w:w="113" w:type="dxa"/>
              <w:left w:w="113" w:type="dxa"/>
              <w:bottom w:w="113" w:type="dxa"/>
              <w:right w:w="113" w:type="dxa"/>
            </w:tcMar>
            <w:vAlign w:val="center"/>
          </w:tcPr>
          <w:p w14:paraId="5F6ADA7B" w14:textId="77777777" w:rsidR="00AE09DE" w:rsidRPr="00AE09DE" w:rsidRDefault="00AE09DE" w:rsidP="001025DA">
            <w:pPr>
              <w:pStyle w:val="CDIFigure-Table-BodyTextCentre"/>
            </w:pPr>
            <w:r w:rsidRPr="00AE09DE">
              <w:t>0.76</w:t>
            </w:r>
          </w:p>
        </w:tc>
        <w:tc>
          <w:tcPr>
            <w:tcW w:w="1021" w:type="dxa"/>
            <w:tcBorders>
              <w:right w:val="single" w:sz="4" w:space="0" w:color="033636" w:themeColor="text2"/>
            </w:tcBorders>
            <w:tcMar>
              <w:top w:w="113" w:type="dxa"/>
              <w:left w:w="113" w:type="dxa"/>
              <w:bottom w:w="113" w:type="dxa"/>
              <w:right w:w="113" w:type="dxa"/>
            </w:tcMar>
            <w:vAlign w:val="center"/>
          </w:tcPr>
          <w:p w14:paraId="214C9340" w14:textId="77777777" w:rsidR="00AE09DE" w:rsidRPr="00AE09DE" w:rsidRDefault="00AE09DE" w:rsidP="001025DA">
            <w:pPr>
              <w:pStyle w:val="CDIFigure-Table-BodyTextCentre"/>
            </w:pPr>
            <w:r w:rsidRPr="00AE09DE">
              <w:t>0.52–1.10</w:t>
            </w:r>
          </w:p>
        </w:tc>
        <w:tc>
          <w:tcPr>
            <w:tcW w:w="737" w:type="dxa"/>
            <w:tcBorders>
              <w:left w:val="single" w:sz="4" w:space="0" w:color="033636" w:themeColor="text2"/>
            </w:tcBorders>
            <w:shd w:val="clear" w:color="auto" w:fill="93F9F9" w:themeFill="text2" w:themeFillTint="40"/>
            <w:tcMar>
              <w:top w:w="113" w:type="dxa"/>
              <w:left w:w="113" w:type="dxa"/>
              <w:bottom w:w="113" w:type="dxa"/>
              <w:right w:w="113" w:type="dxa"/>
            </w:tcMar>
            <w:vAlign w:val="center"/>
          </w:tcPr>
          <w:p w14:paraId="11B9CDAD" w14:textId="77777777" w:rsidR="00AE09DE" w:rsidRPr="00AE09DE" w:rsidRDefault="00AE09DE" w:rsidP="001025DA">
            <w:pPr>
              <w:pStyle w:val="CDIFigure-Table-BodyTextCentre"/>
            </w:pPr>
            <w:r w:rsidRPr="00AE09DE">
              <w:t>0.61</w:t>
            </w:r>
          </w:p>
        </w:tc>
        <w:tc>
          <w:tcPr>
            <w:tcW w:w="1020" w:type="dxa"/>
            <w:shd w:val="clear" w:color="auto" w:fill="93F9F9" w:themeFill="text2" w:themeFillTint="40"/>
            <w:tcMar>
              <w:top w:w="113" w:type="dxa"/>
              <w:left w:w="113" w:type="dxa"/>
              <w:bottom w:w="113" w:type="dxa"/>
              <w:right w:w="113" w:type="dxa"/>
            </w:tcMar>
            <w:vAlign w:val="center"/>
          </w:tcPr>
          <w:p w14:paraId="20142E02" w14:textId="77777777" w:rsidR="00AE09DE" w:rsidRPr="00AE09DE" w:rsidRDefault="00AE09DE" w:rsidP="001025DA">
            <w:pPr>
              <w:pStyle w:val="CDIFigure-Table-BodyTextCentre"/>
            </w:pPr>
            <w:r w:rsidRPr="00AE09DE">
              <w:t>0.40–0.92</w:t>
            </w:r>
          </w:p>
        </w:tc>
      </w:tr>
      <w:tr w:rsidR="00554FA2" w:rsidRPr="00AE09DE" w14:paraId="78EA1D62"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425DFDD" w14:textId="77777777" w:rsidR="00AE09DE" w:rsidRPr="00AE09DE" w:rsidRDefault="00AE09DE" w:rsidP="00AE09DE"/>
        </w:tc>
        <w:tc>
          <w:tcPr>
            <w:tcW w:w="2891" w:type="dxa"/>
            <w:tcMar>
              <w:top w:w="113" w:type="dxa"/>
              <w:left w:w="113" w:type="dxa"/>
              <w:bottom w:w="113" w:type="dxa"/>
              <w:right w:w="113" w:type="dxa"/>
            </w:tcMar>
            <w:vAlign w:val="center"/>
          </w:tcPr>
          <w:p w14:paraId="7C0A0A2E" w14:textId="77777777" w:rsidR="00AE09DE" w:rsidRPr="00AE09DE" w:rsidRDefault="00AE09DE" w:rsidP="001025DA">
            <w:pPr>
              <w:pStyle w:val="CDIFigure-Table-BodyTextLeft"/>
            </w:pPr>
            <w:r w:rsidRPr="00AE09DE">
              <w:t>Leptospirosis</w:t>
            </w:r>
          </w:p>
        </w:tc>
        <w:tc>
          <w:tcPr>
            <w:tcW w:w="737" w:type="dxa"/>
            <w:tcMar>
              <w:top w:w="113" w:type="dxa"/>
              <w:left w:w="113" w:type="dxa"/>
              <w:bottom w:w="113" w:type="dxa"/>
              <w:right w:w="113" w:type="dxa"/>
            </w:tcMar>
            <w:vAlign w:val="center"/>
          </w:tcPr>
          <w:p w14:paraId="2835924E" w14:textId="77777777" w:rsidR="00AE09DE" w:rsidRPr="00AE09DE" w:rsidRDefault="00AE09DE" w:rsidP="001025DA">
            <w:pPr>
              <w:pStyle w:val="CDIFigure-Table-BodyTextCentre"/>
            </w:pPr>
            <w:r w:rsidRPr="00AE09DE">
              <w:t>0.32</w:t>
            </w:r>
          </w:p>
        </w:tc>
        <w:tc>
          <w:tcPr>
            <w:tcW w:w="794" w:type="dxa"/>
            <w:tcMar>
              <w:top w:w="113" w:type="dxa"/>
              <w:left w:w="113" w:type="dxa"/>
              <w:bottom w:w="113" w:type="dxa"/>
              <w:right w:w="113" w:type="dxa"/>
            </w:tcMar>
            <w:vAlign w:val="center"/>
          </w:tcPr>
          <w:p w14:paraId="2A3A7D19" w14:textId="77777777" w:rsidR="00AE09DE" w:rsidRPr="00AE09DE" w:rsidRDefault="00AE09DE" w:rsidP="001025DA">
            <w:pPr>
              <w:pStyle w:val="CDIFigure-Table-BodyTextCentre"/>
            </w:pPr>
            <w:r w:rsidRPr="00AE09DE">
              <w:t>0.46</w:t>
            </w:r>
          </w:p>
        </w:tc>
        <w:tc>
          <w:tcPr>
            <w:tcW w:w="737" w:type="dxa"/>
            <w:tcMar>
              <w:top w:w="113" w:type="dxa"/>
              <w:left w:w="113" w:type="dxa"/>
              <w:bottom w:w="113" w:type="dxa"/>
              <w:right w:w="113" w:type="dxa"/>
            </w:tcMar>
            <w:vAlign w:val="center"/>
          </w:tcPr>
          <w:p w14:paraId="20DDFBDB" w14:textId="77777777" w:rsidR="00AE09DE" w:rsidRPr="00AE09DE" w:rsidRDefault="00AE09DE" w:rsidP="001025DA">
            <w:pPr>
              <w:pStyle w:val="CDIFigure-Table-BodyTextCentre"/>
            </w:pPr>
            <w:r w:rsidRPr="00AE09DE">
              <w:t>0.38</w:t>
            </w:r>
          </w:p>
        </w:tc>
        <w:tc>
          <w:tcPr>
            <w:tcW w:w="737" w:type="dxa"/>
            <w:tcBorders>
              <w:right w:val="single" w:sz="4" w:space="0" w:color="033636" w:themeColor="text2"/>
            </w:tcBorders>
            <w:tcMar>
              <w:top w:w="113" w:type="dxa"/>
              <w:left w:w="113" w:type="dxa"/>
              <w:bottom w:w="113" w:type="dxa"/>
              <w:right w:w="113" w:type="dxa"/>
            </w:tcMar>
            <w:vAlign w:val="center"/>
          </w:tcPr>
          <w:p w14:paraId="7F13B6E1" w14:textId="77777777" w:rsidR="00AE09DE" w:rsidRPr="00AE09DE" w:rsidRDefault="00AE09DE" w:rsidP="001025DA">
            <w:pPr>
              <w:pStyle w:val="CDIFigure-Table-BodyTextCentre"/>
            </w:pPr>
            <w:r w:rsidRPr="00AE09DE">
              <w:t>0.96</w:t>
            </w:r>
          </w:p>
        </w:tc>
        <w:tc>
          <w:tcPr>
            <w:tcW w:w="737" w:type="dxa"/>
            <w:tcBorders>
              <w:left w:val="single" w:sz="4" w:space="0" w:color="033636" w:themeColor="text2"/>
            </w:tcBorders>
            <w:tcMar>
              <w:top w:w="113" w:type="dxa"/>
              <w:left w:w="113" w:type="dxa"/>
              <w:bottom w:w="113" w:type="dxa"/>
              <w:right w:w="113" w:type="dxa"/>
            </w:tcMar>
            <w:vAlign w:val="center"/>
          </w:tcPr>
          <w:p w14:paraId="325BCA07" w14:textId="77777777" w:rsidR="00AE09DE" w:rsidRPr="00AE09DE" w:rsidRDefault="00AE09DE" w:rsidP="001025DA">
            <w:pPr>
              <w:pStyle w:val="CDIFigure-Table-BodyTextCentre"/>
            </w:pPr>
            <w:r w:rsidRPr="00AE09DE">
              <w:t>1.18</w:t>
            </w:r>
          </w:p>
        </w:tc>
        <w:tc>
          <w:tcPr>
            <w:tcW w:w="1021" w:type="dxa"/>
            <w:tcBorders>
              <w:right w:val="single" w:sz="4" w:space="0" w:color="033636" w:themeColor="text2"/>
            </w:tcBorders>
            <w:tcMar>
              <w:top w:w="113" w:type="dxa"/>
              <w:left w:w="113" w:type="dxa"/>
              <w:bottom w:w="113" w:type="dxa"/>
              <w:right w:w="113" w:type="dxa"/>
            </w:tcMar>
            <w:vAlign w:val="center"/>
          </w:tcPr>
          <w:p w14:paraId="066244CA" w14:textId="77777777" w:rsidR="00AE09DE" w:rsidRPr="00AE09DE" w:rsidRDefault="00AE09DE" w:rsidP="001025DA">
            <w:pPr>
              <w:pStyle w:val="CDIFigure-Table-BodyTextCentre"/>
            </w:pPr>
            <w:r w:rsidRPr="00AE09DE">
              <w:t>0.68–2.03</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02F5AF7C" w14:textId="77777777" w:rsidR="00AE09DE" w:rsidRPr="00AE09DE" w:rsidRDefault="00AE09DE" w:rsidP="001025DA">
            <w:pPr>
              <w:pStyle w:val="CDIFigure-Table-BodyTextCentre"/>
            </w:pPr>
            <w:r w:rsidRPr="00AE09DE">
              <w:t>2.99</w:t>
            </w:r>
          </w:p>
        </w:tc>
        <w:tc>
          <w:tcPr>
            <w:tcW w:w="1020" w:type="dxa"/>
            <w:tcBorders>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2659E112" w14:textId="77777777" w:rsidR="00AE09DE" w:rsidRPr="00AE09DE" w:rsidRDefault="00AE09DE" w:rsidP="001025DA">
            <w:pPr>
              <w:pStyle w:val="CDIFigure-Table-BodyTextCentre"/>
            </w:pPr>
            <w:r w:rsidRPr="00AE09DE">
              <w:t>1.77–5.05</w:t>
            </w:r>
          </w:p>
        </w:tc>
        <w:tc>
          <w:tcPr>
            <w:tcW w:w="737" w:type="dxa"/>
            <w:tcBorders>
              <w:left w:val="single" w:sz="4" w:space="0" w:color="033636" w:themeColor="text2"/>
            </w:tcBorders>
            <w:tcMar>
              <w:top w:w="113" w:type="dxa"/>
              <w:left w:w="113" w:type="dxa"/>
              <w:bottom w:w="113" w:type="dxa"/>
              <w:right w:w="113" w:type="dxa"/>
            </w:tcMar>
            <w:vAlign w:val="center"/>
          </w:tcPr>
          <w:p w14:paraId="611C2BC8" w14:textId="77777777" w:rsidR="00AE09DE" w:rsidRPr="00AE09DE" w:rsidRDefault="00AE09DE" w:rsidP="001025DA">
            <w:pPr>
              <w:pStyle w:val="CDIFigure-Table-BodyTextCentre"/>
            </w:pPr>
            <w:r w:rsidRPr="00AE09DE">
              <w:t>0.82</w:t>
            </w:r>
          </w:p>
        </w:tc>
        <w:tc>
          <w:tcPr>
            <w:tcW w:w="1021" w:type="dxa"/>
            <w:tcBorders>
              <w:right w:val="single" w:sz="4" w:space="0" w:color="033636" w:themeColor="text2"/>
            </w:tcBorders>
            <w:tcMar>
              <w:top w:w="113" w:type="dxa"/>
              <w:left w:w="113" w:type="dxa"/>
              <w:bottom w:w="113" w:type="dxa"/>
              <w:right w:w="113" w:type="dxa"/>
            </w:tcMar>
            <w:vAlign w:val="center"/>
          </w:tcPr>
          <w:p w14:paraId="10C88A00" w14:textId="77777777" w:rsidR="00AE09DE" w:rsidRPr="00AE09DE" w:rsidRDefault="00AE09DE" w:rsidP="001025DA">
            <w:pPr>
              <w:pStyle w:val="CDIFigure-Table-BodyTextCentre"/>
            </w:pPr>
            <w:r w:rsidRPr="00AE09DE">
              <w:t>0.49–1.37</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7862DC84" w14:textId="77777777" w:rsidR="00AE09DE" w:rsidRPr="00AE09DE" w:rsidRDefault="00AE09DE" w:rsidP="001025DA">
            <w:pPr>
              <w:pStyle w:val="CDIFigure-Table-BodyTextCentre"/>
            </w:pPr>
            <w:r w:rsidRPr="00AE09DE">
              <w:t>2.08</w:t>
            </w:r>
          </w:p>
        </w:tc>
        <w:tc>
          <w:tcPr>
            <w:tcW w:w="1020" w:type="dxa"/>
            <w:shd w:val="clear" w:color="auto" w:fill="FFDBC0" w:themeFill="accent4" w:themeFillTint="33"/>
            <w:tcMar>
              <w:top w:w="113" w:type="dxa"/>
              <w:left w:w="113" w:type="dxa"/>
              <w:bottom w:w="113" w:type="dxa"/>
              <w:right w:w="113" w:type="dxa"/>
            </w:tcMar>
            <w:vAlign w:val="center"/>
          </w:tcPr>
          <w:p w14:paraId="03B2AED7" w14:textId="77777777" w:rsidR="00AE09DE" w:rsidRPr="00AE09DE" w:rsidRDefault="00AE09DE" w:rsidP="001025DA">
            <w:pPr>
              <w:pStyle w:val="CDIFigure-Table-BodyTextCentre"/>
            </w:pPr>
            <w:r w:rsidRPr="00AE09DE">
              <w:t>1.27–3.40</w:t>
            </w:r>
          </w:p>
        </w:tc>
      </w:tr>
      <w:tr w:rsidR="00913BE8" w:rsidRPr="00AE09DE" w14:paraId="16F89D96"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48762A0B" w14:textId="77777777" w:rsidR="00AE09DE" w:rsidRPr="00AE09DE" w:rsidRDefault="00AE09DE" w:rsidP="00AE09DE"/>
        </w:tc>
        <w:tc>
          <w:tcPr>
            <w:tcW w:w="2891" w:type="dxa"/>
            <w:tcMar>
              <w:top w:w="113" w:type="dxa"/>
              <w:left w:w="113" w:type="dxa"/>
              <w:bottom w:w="113" w:type="dxa"/>
              <w:right w:w="113" w:type="dxa"/>
            </w:tcMar>
            <w:vAlign w:val="center"/>
          </w:tcPr>
          <w:p w14:paraId="7837C222" w14:textId="77777777" w:rsidR="00AE09DE" w:rsidRPr="00AE09DE" w:rsidRDefault="00AE09DE" w:rsidP="001025DA">
            <w:pPr>
              <w:pStyle w:val="CDIFigure-Table-BodyTextLeft"/>
            </w:pPr>
            <w:r w:rsidRPr="00AE09DE">
              <w:t>Pscittacosis</w:t>
            </w:r>
          </w:p>
        </w:tc>
        <w:tc>
          <w:tcPr>
            <w:tcW w:w="737" w:type="dxa"/>
            <w:tcMar>
              <w:top w:w="113" w:type="dxa"/>
              <w:left w:w="113" w:type="dxa"/>
              <w:bottom w:w="113" w:type="dxa"/>
              <w:right w:w="113" w:type="dxa"/>
            </w:tcMar>
            <w:vAlign w:val="center"/>
          </w:tcPr>
          <w:p w14:paraId="0E1F7FE6" w14:textId="77777777" w:rsidR="00AE09DE" w:rsidRPr="00AE09DE" w:rsidRDefault="00AE09DE" w:rsidP="001025DA">
            <w:pPr>
              <w:pStyle w:val="CDIFigure-Table-BodyTextCentre"/>
            </w:pPr>
            <w:r w:rsidRPr="00AE09DE">
              <w:t>0.09</w:t>
            </w:r>
          </w:p>
        </w:tc>
        <w:tc>
          <w:tcPr>
            <w:tcW w:w="794" w:type="dxa"/>
            <w:tcMar>
              <w:top w:w="113" w:type="dxa"/>
              <w:left w:w="113" w:type="dxa"/>
              <w:bottom w:w="113" w:type="dxa"/>
              <w:right w:w="113" w:type="dxa"/>
            </w:tcMar>
            <w:vAlign w:val="center"/>
          </w:tcPr>
          <w:p w14:paraId="697A639C" w14:textId="77777777" w:rsidR="00AE09DE" w:rsidRPr="00AE09DE" w:rsidRDefault="00AE09DE" w:rsidP="001025DA">
            <w:pPr>
              <w:pStyle w:val="CDIFigure-Table-BodyTextCentre"/>
            </w:pPr>
            <w:r w:rsidRPr="00AE09DE">
              <w:t>0.08</w:t>
            </w:r>
          </w:p>
        </w:tc>
        <w:tc>
          <w:tcPr>
            <w:tcW w:w="737" w:type="dxa"/>
            <w:tcMar>
              <w:top w:w="113" w:type="dxa"/>
              <w:left w:w="113" w:type="dxa"/>
              <w:bottom w:w="113" w:type="dxa"/>
              <w:right w:w="113" w:type="dxa"/>
            </w:tcMar>
            <w:vAlign w:val="center"/>
          </w:tcPr>
          <w:p w14:paraId="174C3556" w14:textId="77777777" w:rsidR="00AE09DE" w:rsidRPr="00AE09DE" w:rsidRDefault="00AE09DE" w:rsidP="001025DA">
            <w:pPr>
              <w:pStyle w:val="CDIFigure-Table-BodyTextCentre"/>
            </w:pPr>
            <w:r w:rsidRPr="00AE09DE">
              <w:t>0.25</w:t>
            </w:r>
          </w:p>
        </w:tc>
        <w:tc>
          <w:tcPr>
            <w:tcW w:w="737" w:type="dxa"/>
            <w:tcBorders>
              <w:right w:val="single" w:sz="4" w:space="0" w:color="033636" w:themeColor="text2"/>
            </w:tcBorders>
            <w:tcMar>
              <w:top w:w="113" w:type="dxa"/>
              <w:left w:w="113" w:type="dxa"/>
              <w:bottom w:w="113" w:type="dxa"/>
              <w:right w:w="113" w:type="dxa"/>
            </w:tcMar>
            <w:vAlign w:val="center"/>
          </w:tcPr>
          <w:p w14:paraId="61A6D9AA" w14:textId="77777777" w:rsidR="00AE09DE" w:rsidRPr="00AE09DE" w:rsidRDefault="00AE09DE" w:rsidP="001025DA">
            <w:pPr>
              <w:pStyle w:val="CDIFigure-Table-BodyTextCentre"/>
            </w:pPr>
            <w:r w:rsidRPr="00AE09DE">
              <w:t>0.14</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58F93C27" w14:textId="77777777" w:rsidR="00AE09DE" w:rsidRPr="00AE09DE" w:rsidRDefault="00AE09DE" w:rsidP="001025DA">
            <w:pPr>
              <w:pStyle w:val="CDIFigure-Table-BodyTextCentre"/>
            </w:pPr>
            <w:r w:rsidRPr="00AE09DE">
              <w:t>2.77</w:t>
            </w:r>
          </w:p>
        </w:tc>
        <w:tc>
          <w:tcPr>
            <w:tcW w:w="1021" w:type="dxa"/>
            <w:tcBorders>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6C85857F" w14:textId="77777777" w:rsidR="00AE09DE" w:rsidRPr="00AE09DE" w:rsidRDefault="00AE09DE" w:rsidP="001025DA">
            <w:pPr>
              <w:pStyle w:val="CDIFigure-Table-BodyTextCentre"/>
            </w:pPr>
            <w:r w:rsidRPr="00AE09DE">
              <w:t>1.72–4.46</w:t>
            </w:r>
          </w:p>
        </w:tc>
        <w:tc>
          <w:tcPr>
            <w:tcW w:w="737" w:type="dxa"/>
            <w:tcBorders>
              <w:left w:val="single" w:sz="4" w:space="0" w:color="033636" w:themeColor="text2"/>
            </w:tcBorders>
            <w:tcMar>
              <w:top w:w="113" w:type="dxa"/>
              <w:left w:w="113" w:type="dxa"/>
              <w:bottom w:w="113" w:type="dxa"/>
              <w:right w:w="113" w:type="dxa"/>
            </w:tcMar>
            <w:vAlign w:val="center"/>
          </w:tcPr>
          <w:p w14:paraId="595F5777" w14:textId="77777777" w:rsidR="00AE09DE" w:rsidRPr="00AE09DE" w:rsidRDefault="00AE09DE" w:rsidP="001025DA">
            <w:pPr>
              <w:pStyle w:val="CDIFigure-Table-BodyTextCentre"/>
            </w:pPr>
            <w:r w:rsidRPr="00AE09DE">
              <w:t>1.51</w:t>
            </w:r>
          </w:p>
        </w:tc>
        <w:tc>
          <w:tcPr>
            <w:tcW w:w="1020" w:type="dxa"/>
            <w:tcBorders>
              <w:right w:val="single" w:sz="4" w:space="0" w:color="033636" w:themeColor="text2"/>
            </w:tcBorders>
            <w:tcMar>
              <w:top w:w="113" w:type="dxa"/>
              <w:left w:w="113" w:type="dxa"/>
              <w:bottom w:w="113" w:type="dxa"/>
              <w:right w:w="113" w:type="dxa"/>
            </w:tcMar>
            <w:vAlign w:val="center"/>
          </w:tcPr>
          <w:p w14:paraId="39AB53A9" w14:textId="77777777" w:rsidR="00AE09DE" w:rsidRPr="00AE09DE" w:rsidRDefault="00AE09DE" w:rsidP="001025DA">
            <w:pPr>
              <w:pStyle w:val="CDIFigure-Table-BodyTextCentre"/>
            </w:pPr>
            <w:r w:rsidRPr="00AE09DE">
              <w:t>0.89–2.56</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7CB555A7" w14:textId="77777777" w:rsidR="00AE09DE" w:rsidRPr="00AE09DE" w:rsidRDefault="00AE09DE" w:rsidP="001025DA">
            <w:pPr>
              <w:pStyle w:val="CDIFigure-Table-BodyTextCentre"/>
            </w:pPr>
            <w:r w:rsidRPr="00AE09DE">
              <w:t>3.32</w:t>
            </w:r>
          </w:p>
        </w:tc>
        <w:tc>
          <w:tcPr>
            <w:tcW w:w="1021" w:type="dxa"/>
            <w:tcBorders>
              <w:right w:val="single" w:sz="4" w:space="0" w:color="033636" w:themeColor="text2"/>
            </w:tcBorders>
            <w:shd w:val="clear" w:color="auto" w:fill="FFDBC0" w:themeFill="accent4" w:themeFillTint="33"/>
            <w:tcMar>
              <w:top w:w="113" w:type="dxa"/>
              <w:left w:w="113" w:type="dxa"/>
              <w:bottom w:w="113" w:type="dxa"/>
              <w:right w:w="113" w:type="dxa"/>
            </w:tcMar>
            <w:vAlign w:val="center"/>
          </w:tcPr>
          <w:p w14:paraId="53A3F103" w14:textId="77777777" w:rsidR="00AE09DE" w:rsidRPr="00AE09DE" w:rsidRDefault="00AE09DE" w:rsidP="001025DA">
            <w:pPr>
              <w:pStyle w:val="CDIFigure-Table-BodyTextCentre"/>
            </w:pPr>
            <w:r w:rsidRPr="00AE09DE">
              <w:t>2.41–4.56</w:t>
            </w:r>
          </w:p>
        </w:tc>
        <w:tc>
          <w:tcPr>
            <w:tcW w:w="737" w:type="dxa"/>
            <w:tcBorders>
              <w:left w:val="single" w:sz="4" w:space="0" w:color="033636" w:themeColor="text2"/>
            </w:tcBorders>
            <w:shd w:val="clear" w:color="auto" w:fill="FFDBC0" w:themeFill="accent4" w:themeFillTint="33"/>
            <w:tcMar>
              <w:top w:w="113" w:type="dxa"/>
              <w:left w:w="113" w:type="dxa"/>
              <w:bottom w:w="113" w:type="dxa"/>
              <w:right w:w="113" w:type="dxa"/>
            </w:tcMar>
            <w:vAlign w:val="center"/>
          </w:tcPr>
          <w:p w14:paraId="5361D7FB" w14:textId="77777777" w:rsidR="00AE09DE" w:rsidRPr="00AE09DE" w:rsidRDefault="00AE09DE" w:rsidP="001025DA">
            <w:pPr>
              <w:pStyle w:val="CDIFigure-Table-BodyTextCentre"/>
            </w:pPr>
            <w:r w:rsidRPr="00AE09DE">
              <w:t>1.81</w:t>
            </w:r>
          </w:p>
        </w:tc>
        <w:tc>
          <w:tcPr>
            <w:tcW w:w="1020" w:type="dxa"/>
            <w:shd w:val="clear" w:color="auto" w:fill="FFDBC0" w:themeFill="accent4" w:themeFillTint="33"/>
            <w:tcMar>
              <w:top w:w="113" w:type="dxa"/>
              <w:left w:w="113" w:type="dxa"/>
              <w:bottom w:w="113" w:type="dxa"/>
              <w:right w:w="113" w:type="dxa"/>
            </w:tcMar>
            <w:vAlign w:val="center"/>
          </w:tcPr>
          <w:p w14:paraId="6BA7947E" w14:textId="77777777" w:rsidR="00AE09DE" w:rsidRPr="00AE09DE" w:rsidRDefault="00AE09DE" w:rsidP="001025DA">
            <w:pPr>
              <w:pStyle w:val="CDIFigure-Table-BodyTextCentre"/>
            </w:pPr>
            <w:r w:rsidRPr="00AE09DE">
              <w:t>1.23–2.67</w:t>
            </w:r>
          </w:p>
        </w:tc>
      </w:tr>
      <w:tr w:rsidR="008659EE" w:rsidRPr="00AE09DE" w14:paraId="1839EC18" w14:textId="77777777" w:rsidTr="00554FA2">
        <w:trPr>
          <w:divId w:val="935526654"/>
          <w:trHeight w:val="20"/>
        </w:trPr>
        <w:tc>
          <w:tcPr>
            <w:tcW w:w="1474" w:type="dxa"/>
            <w:vMerge/>
            <w:tcBorders>
              <w:bottom w:val="single" w:sz="4" w:space="0" w:color="033636" w:themeColor="text2"/>
            </w:tcBorders>
            <w:shd w:val="clear" w:color="auto" w:fill="C5FFEF" w:themeFill="background2" w:themeFillTint="33"/>
          </w:tcPr>
          <w:p w14:paraId="5AC2480D" w14:textId="77777777" w:rsidR="00AE09DE" w:rsidRPr="00AE09DE" w:rsidRDefault="00AE09DE" w:rsidP="00AE09DE"/>
        </w:tc>
        <w:tc>
          <w:tcPr>
            <w:tcW w:w="2891" w:type="dxa"/>
            <w:tcBorders>
              <w:bottom w:val="single" w:sz="4" w:space="0" w:color="033636" w:themeColor="text2"/>
            </w:tcBorders>
            <w:tcMar>
              <w:top w:w="113" w:type="dxa"/>
              <w:left w:w="113" w:type="dxa"/>
              <w:bottom w:w="113" w:type="dxa"/>
              <w:right w:w="113" w:type="dxa"/>
            </w:tcMar>
            <w:vAlign w:val="center"/>
          </w:tcPr>
          <w:p w14:paraId="6A52FC47" w14:textId="77777777" w:rsidR="00AE09DE" w:rsidRPr="00AE09DE" w:rsidRDefault="00AE09DE" w:rsidP="001025DA">
            <w:pPr>
              <w:pStyle w:val="CDIFigure-Table-BodyTextLeft"/>
            </w:pPr>
            <w:r w:rsidRPr="00AE09DE">
              <w:t>Q fever</w:t>
            </w:r>
          </w:p>
        </w:tc>
        <w:tc>
          <w:tcPr>
            <w:tcW w:w="737" w:type="dxa"/>
            <w:tcBorders>
              <w:bottom w:val="single" w:sz="4" w:space="0" w:color="033636" w:themeColor="text2"/>
            </w:tcBorders>
            <w:tcMar>
              <w:top w:w="113" w:type="dxa"/>
              <w:left w:w="113" w:type="dxa"/>
              <w:bottom w:w="113" w:type="dxa"/>
              <w:right w:w="113" w:type="dxa"/>
            </w:tcMar>
            <w:vAlign w:val="center"/>
          </w:tcPr>
          <w:p w14:paraId="0CA51CAB" w14:textId="77777777" w:rsidR="00AE09DE" w:rsidRPr="00AE09DE" w:rsidRDefault="00AE09DE" w:rsidP="001025DA">
            <w:pPr>
              <w:pStyle w:val="CDIFigure-Table-BodyTextCentre"/>
            </w:pPr>
            <w:r w:rsidRPr="00AE09DE">
              <w:t>2.22</w:t>
            </w:r>
          </w:p>
        </w:tc>
        <w:tc>
          <w:tcPr>
            <w:tcW w:w="794" w:type="dxa"/>
            <w:tcBorders>
              <w:bottom w:val="single" w:sz="4" w:space="0" w:color="033636" w:themeColor="text2"/>
            </w:tcBorders>
            <w:tcMar>
              <w:top w:w="113" w:type="dxa"/>
              <w:left w:w="113" w:type="dxa"/>
              <w:bottom w:w="113" w:type="dxa"/>
              <w:right w:w="113" w:type="dxa"/>
            </w:tcMar>
            <w:vAlign w:val="center"/>
          </w:tcPr>
          <w:p w14:paraId="35497CAD" w14:textId="77777777" w:rsidR="00AE09DE" w:rsidRPr="00AE09DE" w:rsidRDefault="00AE09DE" w:rsidP="001025DA">
            <w:pPr>
              <w:pStyle w:val="CDIFigure-Table-BodyTextCentre"/>
            </w:pPr>
            <w:r w:rsidRPr="00AE09DE">
              <w:t>2.20</w:t>
            </w:r>
          </w:p>
        </w:tc>
        <w:tc>
          <w:tcPr>
            <w:tcW w:w="737" w:type="dxa"/>
            <w:tcBorders>
              <w:bottom w:val="single" w:sz="4" w:space="0" w:color="033636" w:themeColor="text2"/>
            </w:tcBorders>
            <w:tcMar>
              <w:top w:w="113" w:type="dxa"/>
              <w:left w:w="113" w:type="dxa"/>
              <w:bottom w:w="113" w:type="dxa"/>
              <w:right w:w="113" w:type="dxa"/>
            </w:tcMar>
            <w:vAlign w:val="center"/>
          </w:tcPr>
          <w:p w14:paraId="5F40C74C" w14:textId="77777777" w:rsidR="00AE09DE" w:rsidRPr="00AE09DE" w:rsidRDefault="00AE09DE" w:rsidP="001025DA">
            <w:pPr>
              <w:pStyle w:val="CDIFigure-Table-BodyTextCentre"/>
            </w:pPr>
            <w:r w:rsidRPr="00AE09DE">
              <w:t>1.76</w:t>
            </w:r>
          </w:p>
        </w:tc>
        <w:tc>
          <w:tcPr>
            <w:tcW w:w="737"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32A8F44" w14:textId="77777777" w:rsidR="00AE09DE" w:rsidRPr="00AE09DE" w:rsidRDefault="00AE09DE" w:rsidP="001025DA">
            <w:pPr>
              <w:pStyle w:val="CDIFigure-Table-BodyTextCentre"/>
            </w:pPr>
            <w:r w:rsidRPr="00AE09DE">
              <w:t>1.88</w:t>
            </w:r>
          </w:p>
        </w:tc>
        <w:tc>
          <w:tcPr>
            <w:tcW w:w="737" w:type="dxa"/>
            <w:tcBorders>
              <w:left w:val="single" w:sz="4" w:space="0" w:color="033636" w:themeColor="text2"/>
              <w:bottom w:val="single" w:sz="4" w:space="0" w:color="033636" w:themeColor="text2"/>
            </w:tcBorders>
            <w:shd w:val="clear" w:color="auto" w:fill="93F9F9" w:themeFill="text2" w:themeFillTint="40"/>
            <w:tcMar>
              <w:top w:w="113" w:type="dxa"/>
              <w:left w:w="113" w:type="dxa"/>
              <w:bottom w:w="113" w:type="dxa"/>
              <w:right w:w="113" w:type="dxa"/>
            </w:tcMar>
            <w:vAlign w:val="center"/>
          </w:tcPr>
          <w:p w14:paraId="22C709AF" w14:textId="77777777" w:rsidR="00AE09DE" w:rsidRPr="00AE09DE" w:rsidRDefault="00AE09DE" w:rsidP="001025DA">
            <w:pPr>
              <w:pStyle w:val="CDIFigure-Table-BodyTextCentre"/>
            </w:pPr>
            <w:r w:rsidRPr="00AE09DE">
              <w:t>0.79</w:t>
            </w:r>
          </w:p>
        </w:tc>
        <w:tc>
          <w:tcPr>
            <w:tcW w:w="1021" w:type="dxa"/>
            <w:tcBorders>
              <w:bottom w:val="single" w:sz="4" w:space="0" w:color="033636" w:themeColor="text2"/>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48CB3A38" w14:textId="77777777" w:rsidR="00AE09DE" w:rsidRPr="00AE09DE" w:rsidRDefault="00AE09DE" w:rsidP="001025DA">
            <w:pPr>
              <w:pStyle w:val="CDIFigure-Table-BodyTextCentre"/>
            </w:pPr>
            <w:r w:rsidRPr="00AE09DE">
              <w:t>0.64–0.99</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3785404C" w14:textId="77777777" w:rsidR="00AE09DE" w:rsidRPr="00AE09DE" w:rsidRDefault="00AE09DE" w:rsidP="001025DA">
            <w:pPr>
              <w:pStyle w:val="CDIFigure-Table-BodyTextCentre"/>
            </w:pPr>
            <w:r w:rsidRPr="00AE09DE">
              <w:t>0.85</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E00882B" w14:textId="77777777" w:rsidR="00AE09DE" w:rsidRPr="00AE09DE" w:rsidRDefault="00AE09DE" w:rsidP="001025DA">
            <w:pPr>
              <w:pStyle w:val="CDIFigure-Table-BodyTextCentre"/>
            </w:pPr>
            <w:r w:rsidRPr="00AE09DE">
              <w:t>0.68–1.05</w:t>
            </w:r>
          </w:p>
        </w:tc>
        <w:tc>
          <w:tcPr>
            <w:tcW w:w="737" w:type="dxa"/>
            <w:tcBorders>
              <w:left w:val="single" w:sz="4" w:space="0" w:color="033636" w:themeColor="text2"/>
              <w:bottom w:val="single" w:sz="4" w:space="0" w:color="033636" w:themeColor="text2"/>
            </w:tcBorders>
            <w:shd w:val="clear" w:color="auto" w:fill="93F9F9" w:themeFill="text2" w:themeFillTint="40"/>
            <w:tcMar>
              <w:top w:w="113" w:type="dxa"/>
              <w:left w:w="113" w:type="dxa"/>
              <w:bottom w:w="113" w:type="dxa"/>
              <w:right w:w="113" w:type="dxa"/>
            </w:tcMar>
            <w:vAlign w:val="center"/>
          </w:tcPr>
          <w:p w14:paraId="457483F5" w14:textId="77777777" w:rsidR="00AE09DE" w:rsidRPr="00AE09DE" w:rsidRDefault="00AE09DE" w:rsidP="00263EAD">
            <w:pPr>
              <w:pStyle w:val="CDIFigure-Table-BodyTextCentre"/>
            </w:pPr>
            <w:r w:rsidRPr="00AE09DE">
              <w:t>0.80</w:t>
            </w:r>
          </w:p>
        </w:tc>
        <w:tc>
          <w:tcPr>
            <w:tcW w:w="1021" w:type="dxa"/>
            <w:tcBorders>
              <w:bottom w:val="single" w:sz="4" w:space="0" w:color="033636" w:themeColor="text2"/>
              <w:right w:val="single" w:sz="4" w:space="0" w:color="033636" w:themeColor="text2"/>
            </w:tcBorders>
            <w:shd w:val="clear" w:color="auto" w:fill="93F9F9" w:themeFill="text2" w:themeFillTint="40"/>
            <w:tcMar>
              <w:top w:w="113" w:type="dxa"/>
              <w:left w:w="113" w:type="dxa"/>
              <w:bottom w:w="113" w:type="dxa"/>
              <w:right w:w="113" w:type="dxa"/>
            </w:tcMar>
            <w:vAlign w:val="center"/>
          </w:tcPr>
          <w:p w14:paraId="21F71989" w14:textId="77777777" w:rsidR="00AE09DE" w:rsidRPr="00AE09DE" w:rsidRDefault="00AE09DE" w:rsidP="00263EAD">
            <w:pPr>
              <w:pStyle w:val="CDIFigure-Table-BodyTextCentre"/>
            </w:pPr>
            <w:r w:rsidRPr="00AE09DE">
              <w:t>0.67–0.95</w:t>
            </w:r>
          </w:p>
        </w:tc>
        <w:tc>
          <w:tcPr>
            <w:tcW w:w="737"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F9B53D8" w14:textId="77777777" w:rsidR="00AE09DE" w:rsidRPr="00AE09DE" w:rsidRDefault="00AE09DE" w:rsidP="001025DA">
            <w:pPr>
              <w:pStyle w:val="CDIFigure-Table-BodyTextCentre"/>
            </w:pPr>
            <w:r w:rsidRPr="00AE09DE">
              <w:t>0.85</w:t>
            </w:r>
          </w:p>
        </w:tc>
        <w:tc>
          <w:tcPr>
            <w:tcW w:w="1020" w:type="dxa"/>
            <w:tcBorders>
              <w:bottom w:val="single" w:sz="4" w:space="0" w:color="033636" w:themeColor="text2"/>
            </w:tcBorders>
            <w:tcMar>
              <w:top w:w="113" w:type="dxa"/>
              <w:left w:w="113" w:type="dxa"/>
              <w:bottom w:w="113" w:type="dxa"/>
              <w:right w:w="113" w:type="dxa"/>
            </w:tcMar>
            <w:vAlign w:val="center"/>
          </w:tcPr>
          <w:p w14:paraId="24EC4C5A" w14:textId="77777777" w:rsidR="00AE09DE" w:rsidRPr="00AE09DE" w:rsidRDefault="00AE09DE" w:rsidP="001025DA">
            <w:pPr>
              <w:pStyle w:val="CDIFigure-Table-BodyTextCentre"/>
            </w:pPr>
            <w:r w:rsidRPr="00AE09DE">
              <w:t>0.72–1.01</w:t>
            </w:r>
          </w:p>
        </w:tc>
      </w:tr>
    </w:tbl>
    <w:p w14:paraId="3C258B7B" w14:textId="77777777" w:rsidR="00C34F96" w:rsidRDefault="00C34F96" w:rsidP="00C34F96">
      <w:pPr>
        <w:pStyle w:val="CDIFigure-Table-FirstFootnote"/>
        <w:divId w:val="935526654"/>
      </w:pPr>
      <w:r>
        <w:t>a</w:t>
      </w:r>
      <w:r>
        <w:tab/>
        <w:t>Statistically significant decreases in NRR, for either pandemic year relative to pre-pandemic years, are shown in blue; statistically significant increases in the same metric are shown in orange.</w:t>
      </w:r>
    </w:p>
    <w:p w14:paraId="0764B5D8" w14:textId="77777777" w:rsidR="00C34F96" w:rsidRDefault="00C34F96" w:rsidP="00C34F96">
      <w:pPr>
        <w:pStyle w:val="CDIFigure-Table-Footnote"/>
        <w:divId w:val="935526654"/>
      </w:pPr>
      <w:r>
        <w:t>b</w:t>
      </w:r>
      <w:r>
        <w:tab/>
        <w:t>Static five-year mean (2015–2019).</w:t>
      </w:r>
    </w:p>
    <w:p w14:paraId="3DA0CFDF" w14:textId="77777777" w:rsidR="00C34F96" w:rsidRDefault="00C34F96" w:rsidP="00C34F96">
      <w:pPr>
        <w:pStyle w:val="CDIFigure-Table-Footnote"/>
        <w:divId w:val="935526654"/>
      </w:pPr>
      <w:r>
        <w:t>c</w:t>
      </w:r>
      <w:r>
        <w:tab/>
        <w:t>New South Wales commenced reporting of campylobacteriosis in April 2017.</w:t>
      </w:r>
    </w:p>
    <w:p w14:paraId="5D5384E3" w14:textId="77777777" w:rsidR="00C34F96" w:rsidRDefault="00C34F96" w:rsidP="00C34F96">
      <w:pPr>
        <w:pStyle w:val="CDIFigure-Table-Footnote"/>
        <w:divId w:val="935526654"/>
      </w:pPr>
      <w:r>
        <w:t>d</w:t>
      </w:r>
      <w:r>
        <w:tab/>
        <w:t>The case definition for shigellosis was changed in July 2018.</w:t>
      </w:r>
    </w:p>
    <w:p w14:paraId="522977C8" w14:textId="0BECAD21" w:rsidR="00C34F96" w:rsidRDefault="00C34F96" w:rsidP="00682FD7">
      <w:pPr>
        <w:pStyle w:val="CDIFigure-Table-Footnote"/>
        <w:divId w:val="935526654"/>
      </w:pPr>
      <w:r>
        <w:t>e</w:t>
      </w:r>
      <w:r>
        <w:tab/>
        <w:t>Rotavirus became notifiable in 2017.</w:t>
      </w:r>
    </w:p>
    <w:p w14:paraId="4D07CBD5" w14:textId="77777777" w:rsidR="00C34F96" w:rsidRDefault="00C34F96" w:rsidP="00B63015">
      <w:pPr>
        <w:divId w:val="935526654"/>
        <w:rPr>
          <w:lang w:val="en-GB"/>
        </w:rPr>
        <w:sectPr w:rsidR="00C34F96" w:rsidSect="00C34F96">
          <w:footerReference w:type="default" r:id="rId15"/>
          <w:pgSz w:w="16840" w:h="11907" w:orient="landscape" w:code="9"/>
          <w:pgMar w:top="1134" w:right="1304" w:bottom="1134" w:left="1304" w:header="709" w:footer="527" w:gutter="0"/>
          <w:cols w:space="708"/>
          <w:docGrid w:linePitch="360"/>
        </w:sectPr>
      </w:pPr>
    </w:p>
    <w:p w14:paraId="53AAE3F8" w14:textId="1A43DE26" w:rsidR="00C34F96" w:rsidRDefault="00682FD7" w:rsidP="00682FD7">
      <w:pPr>
        <w:pStyle w:val="Heading2"/>
        <w:divId w:val="935526654"/>
        <w:rPr>
          <w:lang w:val="en-GB"/>
        </w:rPr>
      </w:pPr>
      <w:r>
        <w:rPr>
          <w:lang w:val="en-GB"/>
        </w:rPr>
        <w:lastRenderedPageBreak/>
        <w:t>Social diseases</w:t>
      </w:r>
    </w:p>
    <w:p w14:paraId="200FB152" w14:textId="4582752A" w:rsidR="00C34F96" w:rsidRDefault="00682FD7" w:rsidP="00682FD7">
      <w:pPr>
        <w:pStyle w:val="Heading3"/>
        <w:divId w:val="935526654"/>
        <w:rPr>
          <w:lang w:val="en-GB"/>
        </w:rPr>
      </w:pPr>
      <w:r w:rsidRPr="00682FD7">
        <w:rPr>
          <w:lang w:val="en-GB"/>
        </w:rPr>
        <w:t>Chlamydia</w:t>
      </w:r>
    </w:p>
    <w:p w14:paraId="4A2D7935" w14:textId="0730E4AC" w:rsidR="00CE0FDD" w:rsidRPr="00CE0FDD" w:rsidRDefault="00CE0FDD" w:rsidP="00CE0FDD">
      <w:pPr>
        <w:divId w:val="935526654"/>
        <w:rPr>
          <w:lang w:val="en-GB"/>
        </w:rPr>
      </w:pPr>
      <w:r w:rsidRPr="00CE0FDD">
        <w:rPr>
          <w:lang w:val="en-GB"/>
        </w:rPr>
        <w:t>In 2020, there were 91,285 chlamydia notifications, 15% lower than in 2019 (n = 107,143), and 8% lower than the static five-year mean (n = 98,797) (Table 1, Figure 1). In 2021, there were 85,932 chlamydia notifications, which was 20% lower than 2019 and 13% lower than the static five-year mean (Table 1, Figure</w:t>
      </w:r>
      <w:r>
        <w:rPr>
          <w:lang w:val="en-GB"/>
        </w:rPr>
        <w:t> </w:t>
      </w:r>
      <w:r w:rsidRPr="00CE0FDD">
        <w:rPr>
          <w:lang w:val="en-GB"/>
        </w:rPr>
        <w:t>1).</w:t>
      </w:r>
    </w:p>
    <w:p w14:paraId="4D8FCAE2" w14:textId="053AE62D" w:rsidR="00CE0FDD" w:rsidRPr="00CE0FDD" w:rsidRDefault="00CE0FDD" w:rsidP="00CE0FDD">
      <w:pPr>
        <w:divId w:val="935526654"/>
        <w:rPr>
          <w:lang w:val="en-GB"/>
        </w:rPr>
      </w:pPr>
      <w:r w:rsidRPr="00CE0FDD">
        <w:rPr>
          <w:lang w:val="en-GB"/>
        </w:rPr>
        <w:t>In 2020, the notification rate for chlamydia was 355 per 100,000 population, lower than the rate of 419 per 100,000 population in 2019 (NRR = 0.85; 95% CI: 0.75–0.95), and 398 per 100,000 population per year for the static five-year pre-pandemic mean (NRR = 0.89; 95% CI: 0.81–0.99). In 2021 the rate decreased to 334 per 100,000 population and was significantly lower than in 2019 (NRR = 0.80; 95% CI: 0.71–0.89) and when compared to the static five-year pre-pandemic mean notification rate (NRR = 0.84; 95% CI: 0.76-0.93) (Table</w:t>
      </w:r>
      <w:r>
        <w:rPr>
          <w:lang w:val="en-GB"/>
        </w:rPr>
        <w:t> </w:t>
      </w:r>
      <w:r w:rsidRPr="00CE0FDD">
        <w:rPr>
          <w:lang w:val="en-GB"/>
        </w:rPr>
        <w:t>2).</w:t>
      </w:r>
    </w:p>
    <w:p w14:paraId="7DACF4D0" w14:textId="665E5C22" w:rsidR="00AB79BD" w:rsidRDefault="00AB79BD" w:rsidP="00AB79BD">
      <w:pPr>
        <w:pStyle w:val="CDIFigure-Table-Title"/>
        <w:divId w:val="935526654"/>
      </w:pPr>
      <w:r w:rsidRPr="00AB79BD">
        <w:t>Figure 1: Chlamydia notifications by year and month of diagnosis, 1 January 2020 to 31 December 2021, and static five-year mean (2015–2019), Australia</w:t>
      </w:r>
    </w:p>
    <w:p w14:paraId="6F947840" w14:textId="2DD626C3" w:rsidR="00CE0FDD" w:rsidRDefault="00CE0FDD" w:rsidP="00CE0FDD">
      <w:pPr>
        <w:pStyle w:val="CDIFigure-Table-ImagePlaceholder"/>
        <w:rPr>
          <w:lang w:val="en-GB"/>
        </w:rPr>
      </w:pPr>
      <w:r>
        <w:rPr>
          <w:noProof/>
          <w:lang w:val="en-GB"/>
          <w14:ligatures w14:val="none"/>
        </w:rPr>
        <w:drawing>
          <wp:inline distT="0" distB="0" distL="0" distR="0" wp14:anchorId="7D255372" wp14:editId="22D00718">
            <wp:extent cx="6120765" cy="3968115"/>
            <wp:effectExtent l="0" t="0" r="0" b="0"/>
            <wp:docPr id="1" name="Picture 1" descr="Figure 1: A histogram/bar chart summarising the epidemic curve of chlamydia notification numbers by year, month, and 5-year mean (2015–2019), from 1 January 2020 to 31 December 2021, Australia. There is a peak of almost 10,000 notifications per month in January and February 2020, dropping through March 2020 to a minimum of 6,000 notifications per month in April 2020, with notified cases for the remainder of 2020 and all of 2021 oscillating between 6,000 and 8,000 notifications per mon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A histogram/bar chart summarising the epidemic curve of chlamydia notification numbers by year, month, and 5-year mean (2015–2019), from 1 January 2020 to 31 December 2021, Australia. There is a peak of almost 10,000 notifications per month in January and February 2020, dropping through March 2020 to a minimum of 6,000 notifications per month in April 2020, with notified cases for the remainder of 2020 and all of 2021 oscillating between 6,000 and 8,000 notifications per month. "/>
                    <pic:cNvPicPr/>
                  </pic:nvPicPr>
                  <pic:blipFill>
                    <a:blip r:embed="rId16">
                      <a:extLst>
                        <a:ext uri="{28A0092B-C50C-407E-A947-70E740481C1C}">
                          <a14:useLocalDpi xmlns:a14="http://schemas.microsoft.com/office/drawing/2010/main" val="0"/>
                        </a:ext>
                      </a:extLst>
                    </a:blip>
                    <a:stretch>
                      <a:fillRect/>
                    </a:stretch>
                  </pic:blipFill>
                  <pic:spPr>
                    <a:xfrm>
                      <a:off x="0" y="0"/>
                      <a:ext cx="6120765" cy="3968115"/>
                    </a:xfrm>
                    <a:prstGeom prst="rect">
                      <a:avLst/>
                    </a:prstGeom>
                  </pic:spPr>
                </pic:pic>
              </a:graphicData>
            </a:graphic>
          </wp:inline>
        </w:drawing>
      </w:r>
      <w:r>
        <w:rPr>
          <w:lang w:val="en-GB"/>
        </w:rPr>
        <w:br w:type="page"/>
      </w:r>
    </w:p>
    <w:p w14:paraId="752CD774" w14:textId="578EF120" w:rsidR="00682FD7" w:rsidRDefault="00682FD7" w:rsidP="00682FD7">
      <w:pPr>
        <w:pStyle w:val="Heading3"/>
        <w:divId w:val="935526654"/>
        <w:rPr>
          <w:lang w:val="en-GB"/>
        </w:rPr>
      </w:pPr>
      <w:r w:rsidRPr="00682FD7">
        <w:rPr>
          <w:lang w:val="en-GB"/>
        </w:rPr>
        <w:lastRenderedPageBreak/>
        <w:t>Laboratory-confirmed influenza</w:t>
      </w:r>
    </w:p>
    <w:p w14:paraId="00A93B02" w14:textId="77777777" w:rsidR="00CE0FDD" w:rsidRPr="00CE0FDD" w:rsidRDefault="00CE0FDD" w:rsidP="00CE0FDD">
      <w:pPr>
        <w:divId w:val="935526654"/>
        <w:rPr>
          <w:lang w:val="en-GB"/>
        </w:rPr>
      </w:pPr>
      <w:r w:rsidRPr="00CE0FDD">
        <w:rPr>
          <w:lang w:val="en-GB"/>
        </w:rPr>
        <w:t>There were 93% fewer cases of laboratory-confirmed influenza reported to the NNDSS in 2020 (n = 21,362) and 99.9% (n = 754) in 2021, than in 2019 (n = 313,447) (Figure 2). A decrease was also observed against the pre-pandemic static five-year mean (n = 163,007), with 87% fewer cases reported in 2020, and 99.9% fewer in 2021 (Table 1).</w:t>
      </w:r>
    </w:p>
    <w:p w14:paraId="774979FE" w14:textId="77777777" w:rsidR="00CE0FDD" w:rsidRPr="00CE0FDD" w:rsidRDefault="00CE0FDD" w:rsidP="00CE0FDD">
      <w:pPr>
        <w:divId w:val="935526654"/>
        <w:rPr>
          <w:lang w:val="en-GB"/>
        </w:rPr>
      </w:pPr>
      <w:r w:rsidRPr="00CE0FDD">
        <w:rPr>
          <w:lang w:val="en-GB"/>
        </w:rPr>
        <w:t>This corresponded to a statistically significant decrease in the notification rates of laboratory-confirmed influenza. In 2020, the notification rate was 83 per 100,000 population, compared with 1,226 per 100,000 population in 2019 (NRR = 0.07; 95% CI: 0.02–0.21), and 653 per 100,000 population per year for the static five-year pre-pandemic mean (NRR = 0.13; 95% CI: 0.04–0.38). In 2021, the notification rate was 3 per 100,000 population, which was significantly lower than in 2019 (NRR = 0.002; 95% CI: 0.00–0.01) and compared to the static five-year pre-pandemic notification rate (NRR = 0.004; 95% CI: 0.00–0.01) (Table 2).</w:t>
      </w:r>
    </w:p>
    <w:p w14:paraId="10B1E8D7" w14:textId="46E87536" w:rsidR="00AB79BD" w:rsidRDefault="00AB79BD" w:rsidP="00AB79BD">
      <w:pPr>
        <w:pStyle w:val="CDIFigure-Table-Title"/>
        <w:divId w:val="935526654"/>
      </w:pPr>
      <w:r w:rsidRPr="00AB79BD">
        <w:t>Figure 2: Laboratory-confirmed influenza notifications by year and month of diagnosis, 1 January 2020 to 31 December 2021, and static five-year mean (2015–2019), Australia</w:t>
      </w:r>
    </w:p>
    <w:p w14:paraId="2B4C95D9" w14:textId="717E62D0" w:rsidR="00CE0FDD" w:rsidRDefault="00CE0FDD" w:rsidP="00CE0FDD">
      <w:pPr>
        <w:pStyle w:val="CDIFigure-Table-ImagePlaceholder"/>
        <w:rPr>
          <w:lang w:val="en-GB"/>
        </w:rPr>
      </w:pPr>
      <w:r>
        <w:rPr>
          <w:noProof/>
          <w:lang w:val="en-GB"/>
          <w14:ligatures w14:val="none"/>
        </w:rPr>
        <w:drawing>
          <wp:inline distT="0" distB="0" distL="0" distR="0" wp14:anchorId="7B925DC1" wp14:editId="00FBCDB6">
            <wp:extent cx="6120765" cy="3947795"/>
            <wp:effectExtent l="0" t="0" r="0" b="0"/>
            <wp:docPr id="2" name="Picture 2" descr="Figure 2: A histogram/bar chart summarising the epidemic curve of laboratory-confirmed influenza notifications numbers by year, month, and 5-year mean (2015–2019), from 1 January 2020 to 31 December 2021, Australia. There is a peak at the beginning of 2020, and almost no cases for the remainder of 2020 and all of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A histogram/bar chart summarising the epidemic curve of laboratory-confirmed influenza notifications numbers by year, month, and 5-year mean (2015–2019), from 1 January 2020 to 31 December 2021, Australia. There is a peak at the beginning of 2020, and almost no cases for the remainder of 2020 and all of 2021. "/>
                    <pic:cNvPicPr/>
                  </pic:nvPicPr>
                  <pic:blipFill>
                    <a:blip r:embed="rId17">
                      <a:extLst>
                        <a:ext uri="{28A0092B-C50C-407E-A947-70E740481C1C}">
                          <a14:useLocalDpi xmlns:a14="http://schemas.microsoft.com/office/drawing/2010/main" val="0"/>
                        </a:ext>
                      </a:extLst>
                    </a:blip>
                    <a:stretch>
                      <a:fillRect/>
                    </a:stretch>
                  </pic:blipFill>
                  <pic:spPr>
                    <a:xfrm>
                      <a:off x="0" y="0"/>
                      <a:ext cx="6120765" cy="3947795"/>
                    </a:xfrm>
                    <a:prstGeom prst="rect">
                      <a:avLst/>
                    </a:prstGeom>
                  </pic:spPr>
                </pic:pic>
              </a:graphicData>
            </a:graphic>
          </wp:inline>
        </w:drawing>
      </w:r>
      <w:r>
        <w:rPr>
          <w:lang w:val="en-GB"/>
        </w:rPr>
        <w:br w:type="page"/>
      </w:r>
    </w:p>
    <w:p w14:paraId="296C6005" w14:textId="55A1FCC8" w:rsidR="00682FD7" w:rsidRDefault="00682FD7" w:rsidP="00682FD7">
      <w:pPr>
        <w:pStyle w:val="Heading3"/>
        <w:divId w:val="935526654"/>
        <w:rPr>
          <w:lang w:val="en-GB"/>
        </w:rPr>
      </w:pPr>
      <w:r>
        <w:rPr>
          <w:lang w:val="en-GB"/>
        </w:rPr>
        <w:lastRenderedPageBreak/>
        <w:t>Rotavirus</w:t>
      </w:r>
    </w:p>
    <w:p w14:paraId="40BFCA29" w14:textId="77777777" w:rsidR="00CE0FDD" w:rsidRPr="00CE0FDD" w:rsidRDefault="00CE0FDD" w:rsidP="00CE0FDD">
      <w:pPr>
        <w:divId w:val="935526654"/>
        <w:rPr>
          <w:lang w:val="en-GB"/>
        </w:rPr>
      </w:pPr>
      <w:r w:rsidRPr="00CE0FDD">
        <w:rPr>
          <w:lang w:val="en-GB"/>
        </w:rPr>
        <w:t>Compared with notifications in 2019 (n = 6,200), there were 72% fewer cases of rotavirus reported to the NNDSS in 2020 (n = 1,707) and 58% fewer (n = 2,581) in 2021 (Table 1). Rotavirus notifications were below baseline levels throughout the majority of 2020 and 2021, with notifications increasing from September 2021 (Figure 3).</w:t>
      </w:r>
    </w:p>
    <w:p w14:paraId="18BB6C5A" w14:textId="77777777" w:rsidR="00CE0FDD" w:rsidRPr="00CE0FDD" w:rsidRDefault="00CE0FDD" w:rsidP="00CE0FDD">
      <w:pPr>
        <w:divId w:val="935526654"/>
        <w:rPr>
          <w:lang w:val="en-GB"/>
        </w:rPr>
      </w:pPr>
      <w:r w:rsidRPr="00CE0FDD">
        <w:rPr>
          <w:lang w:val="en-GB"/>
        </w:rPr>
        <w:t>This corresponded to a statistically significant decrease in the notification rates of rotavirus. In 2020, the notification rate of rotavirus was 7 per 100,000 population, compared with 24 per 100,000 population in 2019 (NRR = 0.27; 95% CI: 0.12–0.61). In 2021 the notification rate remained lower than 2019, with 10 notifications per 100,000 population (NRR = 0.41; 95% CI: 0.19–0.92) (Table 2).</w:t>
      </w:r>
    </w:p>
    <w:p w14:paraId="14A9887A" w14:textId="57F7DFA7" w:rsidR="00AB79BD" w:rsidRDefault="00AB79BD" w:rsidP="00AB79BD">
      <w:pPr>
        <w:pStyle w:val="CDIFigure-Table-Title"/>
        <w:divId w:val="935526654"/>
      </w:pPr>
      <w:r w:rsidRPr="00AB79BD">
        <w:t>Figure 3: Rotavirus notifications by year and month of diagnosis, 1 January 2020 to 31 December 2021, Australia</w:t>
      </w:r>
    </w:p>
    <w:p w14:paraId="787C728E" w14:textId="7DBD2DFD" w:rsidR="00AB79BD" w:rsidRDefault="00CE0FDD" w:rsidP="00AB79BD">
      <w:pPr>
        <w:pStyle w:val="CDIFigure-Table-ImagePlaceholder"/>
        <w:divId w:val="935526654"/>
        <w:rPr>
          <w:lang w:val="en-GB"/>
        </w:rPr>
      </w:pPr>
      <w:r>
        <w:rPr>
          <w:noProof/>
          <w:lang w:val="en-GB"/>
          <w14:ligatures w14:val="none"/>
        </w:rPr>
        <w:drawing>
          <wp:inline distT="0" distB="0" distL="0" distR="0" wp14:anchorId="5D9A5192" wp14:editId="76DD5F8A">
            <wp:extent cx="6120765" cy="4006215"/>
            <wp:effectExtent l="0" t="0" r="0" b="0"/>
            <wp:docPr id="3" name="Picture 3" descr="Figure 3: A histogram/bar chart summarising the epidemic curve of rotavirus notifications numbers by year and month, from 1 January 2020 to 31 December 2021, Australia. There is a peak at the beginning of 2020, and a low number of cases for the remainder of 2020 and the first eight months of 2021, before rising from September 2021 towards a peak in Decemb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A histogram/bar chart summarising the epidemic curve of rotavirus notifications numbers by year and month, from 1 January 2020 to 31 December 2021, Australia. There is a peak at the beginning of 2020, and a low number of cases for the remainder of 2020 and the first eight months of 2021, before rising from September 2021 towards a peak in December 2021. "/>
                    <pic:cNvPicPr/>
                  </pic:nvPicPr>
                  <pic:blipFill>
                    <a:blip r:embed="rId18">
                      <a:extLst>
                        <a:ext uri="{28A0092B-C50C-407E-A947-70E740481C1C}">
                          <a14:useLocalDpi xmlns:a14="http://schemas.microsoft.com/office/drawing/2010/main" val="0"/>
                        </a:ext>
                      </a:extLst>
                    </a:blip>
                    <a:stretch>
                      <a:fillRect/>
                    </a:stretch>
                  </pic:blipFill>
                  <pic:spPr>
                    <a:xfrm>
                      <a:off x="0" y="0"/>
                      <a:ext cx="6120765" cy="4006215"/>
                    </a:xfrm>
                    <a:prstGeom prst="rect">
                      <a:avLst/>
                    </a:prstGeom>
                  </pic:spPr>
                </pic:pic>
              </a:graphicData>
            </a:graphic>
          </wp:inline>
        </w:drawing>
      </w:r>
    </w:p>
    <w:p w14:paraId="5CDBDBCE" w14:textId="178F7653" w:rsidR="00682FD7" w:rsidRDefault="00682FD7" w:rsidP="00682FD7">
      <w:pPr>
        <w:pStyle w:val="Heading3"/>
        <w:divId w:val="935526654"/>
        <w:rPr>
          <w:lang w:val="en-GB"/>
        </w:rPr>
      </w:pPr>
      <w:r w:rsidRPr="00682FD7">
        <w:rPr>
          <w:lang w:val="en-GB"/>
        </w:rPr>
        <w:t>Invasive meningococcal disease (IMD)</w:t>
      </w:r>
    </w:p>
    <w:p w14:paraId="110EE5F8" w14:textId="77777777" w:rsidR="00CE0FDD" w:rsidRPr="00CE0FDD" w:rsidRDefault="00CE0FDD" w:rsidP="00CE0FDD">
      <w:pPr>
        <w:divId w:val="935526654"/>
        <w:rPr>
          <w:lang w:val="en-GB"/>
        </w:rPr>
      </w:pPr>
      <w:r w:rsidRPr="00CE0FDD">
        <w:rPr>
          <w:lang w:val="en-GB"/>
        </w:rPr>
        <w:t>In 2020, there were 57% fewer cases of IMD reported to the NNDSS (n = 90), and 64% fewer (n = 74) in 2021, than in 2019 (n = 207). There were 65% fewer cases reported in 2020 and 72% fewer in 2021 compared with the pre-pandemic static five-year mean (n = 260) (Table 1). This is consistent with a statistically significant decrease in the notification rates of IMD per 100,000 population in 2020 and 2021 when compared with the 2019 and the static five-year mean (Table 2).</w:t>
      </w:r>
    </w:p>
    <w:p w14:paraId="25BB26D0" w14:textId="7198FEE5" w:rsidR="00682FD7" w:rsidRDefault="00682FD7" w:rsidP="00682FD7">
      <w:pPr>
        <w:pStyle w:val="Heading3"/>
        <w:divId w:val="935526654"/>
        <w:rPr>
          <w:lang w:val="en-GB"/>
        </w:rPr>
      </w:pPr>
      <w:r w:rsidRPr="00682FD7">
        <w:rPr>
          <w:lang w:val="en-GB"/>
        </w:rPr>
        <w:lastRenderedPageBreak/>
        <w:t>Shigellosis</w:t>
      </w:r>
    </w:p>
    <w:p w14:paraId="4894E38F" w14:textId="77777777" w:rsidR="00CE0FDD" w:rsidRPr="00CE0FDD" w:rsidRDefault="00CE0FDD" w:rsidP="00CE0FDD">
      <w:pPr>
        <w:divId w:val="935526654"/>
        <w:rPr>
          <w:lang w:val="en-GB"/>
        </w:rPr>
      </w:pPr>
      <w:r w:rsidRPr="00CE0FDD">
        <w:rPr>
          <w:lang w:val="en-GB"/>
        </w:rPr>
        <w:t>In 2020, there were 1,602 shigellosis notifications reported, 49% fewer than in with 2019 (n = 3,154) and 19% lower than the static five-year mean (n = 1,971) (Figure 4, Table 1). In 2021, there were 475 shigellosis notifications reported, 85% lower than in 2019 and 76% lower than the static five-year mean (Table 1).</w:t>
      </w:r>
    </w:p>
    <w:p w14:paraId="12EACC81" w14:textId="77777777" w:rsidR="00CE0FDD" w:rsidRPr="00CE0FDD" w:rsidRDefault="00CE0FDD" w:rsidP="00CE0FDD">
      <w:pPr>
        <w:divId w:val="935526654"/>
        <w:rPr>
          <w:lang w:val="en-GB"/>
        </w:rPr>
      </w:pPr>
      <w:r w:rsidRPr="00CE0FDD">
        <w:rPr>
          <w:lang w:val="en-GB"/>
        </w:rPr>
        <w:t>These decreases in total notifications corresponded to a statistically significant decrease in the notification rates of shigellosis per 100,000 population in 2020 when compared with 2019 only. The decrease in 2021 was significant compared with both the 2019 and the static five-year mean (Table 2).</w:t>
      </w:r>
    </w:p>
    <w:p w14:paraId="4255D69F" w14:textId="20F45721" w:rsidR="00AB79BD" w:rsidRDefault="00AB79BD" w:rsidP="00AB79BD">
      <w:pPr>
        <w:pStyle w:val="CDIFigure-Table-Title"/>
        <w:divId w:val="935526654"/>
      </w:pPr>
      <w:r w:rsidRPr="00AB79BD">
        <w:t>Figure 4: Shigellosis notifications by year and month of diagnosis, 1 January 2020 to 31 December 2021, and static five-year mean (2015–2019), Australia</w:t>
      </w:r>
    </w:p>
    <w:p w14:paraId="66048AB9" w14:textId="37E9E8D6" w:rsidR="00C92AA8" w:rsidRDefault="00CE0FDD" w:rsidP="00C92AA8">
      <w:pPr>
        <w:pStyle w:val="CDIFigure-Table-ImagePlaceholder"/>
        <w:rPr>
          <w:lang w:val="en-GB"/>
        </w:rPr>
      </w:pPr>
      <w:r>
        <w:rPr>
          <w:noProof/>
          <w:lang w:val="en-GB"/>
          <w14:ligatures w14:val="none"/>
        </w:rPr>
        <w:drawing>
          <wp:inline distT="0" distB="0" distL="0" distR="0" wp14:anchorId="6523A482" wp14:editId="31666D0E">
            <wp:extent cx="6120765" cy="4010660"/>
            <wp:effectExtent l="0" t="0" r="0" b="8890"/>
            <wp:docPr id="4" name="Picture 4" descr="Figure 4: A histogram/bar chart summarising the epidemic curve of shigellosis notifications numbers by year, month, and 5-year mean (2015–2019), from 1 January 2020 to 31 December 2021, Australia. There is a peak at the beginning of 2020, and a low number of cases for the remainder of 2020 and all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 A histogram/bar chart summarising the epidemic curve of shigellosis notifications numbers by year, month, and 5-year mean (2015–2019), from 1 January 2020 to 31 December 2021, Australia. There is a peak at the beginning of 2020, and a low number of cases for the remainder of 2020 and all of 2021."/>
                    <pic:cNvPicPr/>
                  </pic:nvPicPr>
                  <pic:blipFill>
                    <a:blip r:embed="rId19">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r w:rsidR="00C92AA8">
        <w:rPr>
          <w:lang w:val="en-GB"/>
        </w:rPr>
        <w:br w:type="page"/>
      </w:r>
    </w:p>
    <w:p w14:paraId="240F7C72" w14:textId="5090428A" w:rsidR="00682FD7" w:rsidRDefault="00682FD7" w:rsidP="00682FD7">
      <w:pPr>
        <w:pStyle w:val="Heading2"/>
        <w:divId w:val="935526654"/>
        <w:rPr>
          <w:lang w:val="en-GB"/>
        </w:rPr>
      </w:pPr>
      <w:r w:rsidRPr="00682FD7">
        <w:rPr>
          <w:lang w:val="en-GB"/>
        </w:rPr>
        <w:lastRenderedPageBreak/>
        <w:t>Foodborne diseases</w:t>
      </w:r>
    </w:p>
    <w:p w14:paraId="26927BE7" w14:textId="09CADC44" w:rsidR="00682FD7" w:rsidRDefault="00682FD7" w:rsidP="00682FD7">
      <w:pPr>
        <w:pStyle w:val="Heading3"/>
        <w:divId w:val="935526654"/>
        <w:rPr>
          <w:lang w:val="en-GB"/>
        </w:rPr>
      </w:pPr>
      <w:r w:rsidRPr="00682FD7">
        <w:rPr>
          <w:lang w:val="en-GB"/>
        </w:rPr>
        <w:t>Salmonellosis</w:t>
      </w:r>
    </w:p>
    <w:p w14:paraId="396364B0" w14:textId="77777777" w:rsidR="00C92AA8" w:rsidRPr="00C92AA8" w:rsidRDefault="00C92AA8" w:rsidP="00C92AA8">
      <w:pPr>
        <w:divId w:val="935526654"/>
        <w:rPr>
          <w:lang w:val="en-GB"/>
        </w:rPr>
      </w:pPr>
      <w:r w:rsidRPr="00C92AA8">
        <w:rPr>
          <w:lang w:val="en-GB"/>
        </w:rPr>
        <w:t>In 2020, there were 12,040 salmonellosis notifications reported, 18% lower than in 2019 (n = 14,693) and 25% lower than the static five-year mean (n = 16,016) (Table 1). In 2021, there were 10,730 salmonellosis notifications reported, 27% lower than in 2019 and 33% lower than the static five-year mean (Table 1). Notifications continued to follow the known seasonal patterns in 2020 and 2021 (Figure 5).</w:t>
      </w:r>
    </w:p>
    <w:p w14:paraId="351A79EC" w14:textId="77777777" w:rsidR="00C92AA8" w:rsidRPr="00C92AA8" w:rsidRDefault="00C92AA8" w:rsidP="00C92AA8">
      <w:pPr>
        <w:divId w:val="935526654"/>
        <w:rPr>
          <w:lang w:val="en-GB"/>
        </w:rPr>
      </w:pPr>
      <w:r w:rsidRPr="00C92AA8">
        <w:rPr>
          <w:lang w:val="en-GB"/>
        </w:rPr>
        <w:t>Decreases in total salmonellosis notifications corresponded to statistically significant decreases in the notification rates in 2020 compared with the static five-year mean. The decrease in 2021 was significant compared to both the 2019 and the static five-year mean (Table 2).</w:t>
      </w:r>
    </w:p>
    <w:p w14:paraId="282D943C" w14:textId="353D8887" w:rsidR="00AB79BD" w:rsidRDefault="00AB79BD" w:rsidP="00AB79BD">
      <w:pPr>
        <w:pStyle w:val="CDIFigure-Table-Title"/>
        <w:divId w:val="935526654"/>
      </w:pPr>
      <w:r w:rsidRPr="00AB79BD">
        <w:t>Figure 5: Salmonellosis notifications by year and month of diagnosis, 1 January 2020 to 31 December 2021, and static five-year mean (2015–2019), Australia</w:t>
      </w:r>
    </w:p>
    <w:p w14:paraId="6A145ADD" w14:textId="7E6C6113" w:rsidR="00C92AA8" w:rsidRDefault="00C92AA8" w:rsidP="00C92AA8">
      <w:pPr>
        <w:pStyle w:val="CDIFigure-Table-ImagePlaceholder"/>
        <w:rPr>
          <w:lang w:val="en-GB"/>
        </w:rPr>
      </w:pPr>
      <w:r>
        <w:rPr>
          <w:noProof/>
          <w:lang w:val="en-GB"/>
          <w14:ligatures w14:val="none"/>
        </w:rPr>
        <w:drawing>
          <wp:inline distT="0" distB="0" distL="0" distR="0" wp14:anchorId="34511ABB" wp14:editId="770A0320">
            <wp:extent cx="6120765" cy="4003040"/>
            <wp:effectExtent l="0" t="0" r="0" b="0"/>
            <wp:docPr id="5" name="Picture 5" descr="Figure 5: A histogram/bar chart summarising the epidemic curve of salmonellosis notifications numbers by year, month, and 5-year mean (2015–2019), from 1 January 2020 to 31 December 2021, Australia. There is a peak in February 2020, with cases decreasing in the middle of the year and increases at the end of year, for both 2020 a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5: A histogram/bar chart summarising the epidemic curve of salmonellosis notifications numbers by year, month, and 5-year mean (2015–2019), from 1 January 2020 to 31 December 2021, Australia. There is a peak in February 2020, with cases decreasing in the middle of the year and increases at the end of year, for both 2020 and 2021."/>
                    <pic:cNvPicPr/>
                  </pic:nvPicPr>
                  <pic:blipFill>
                    <a:blip r:embed="rId20">
                      <a:extLst>
                        <a:ext uri="{28A0092B-C50C-407E-A947-70E740481C1C}">
                          <a14:useLocalDpi xmlns:a14="http://schemas.microsoft.com/office/drawing/2010/main" val="0"/>
                        </a:ext>
                      </a:extLst>
                    </a:blip>
                    <a:stretch>
                      <a:fillRect/>
                    </a:stretch>
                  </pic:blipFill>
                  <pic:spPr>
                    <a:xfrm>
                      <a:off x="0" y="0"/>
                      <a:ext cx="6120765" cy="4003040"/>
                    </a:xfrm>
                    <a:prstGeom prst="rect">
                      <a:avLst/>
                    </a:prstGeom>
                  </pic:spPr>
                </pic:pic>
              </a:graphicData>
            </a:graphic>
          </wp:inline>
        </w:drawing>
      </w:r>
      <w:r>
        <w:rPr>
          <w:lang w:val="en-GB"/>
        </w:rPr>
        <w:br w:type="page"/>
      </w:r>
    </w:p>
    <w:p w14:paraId="6EAD8060" w14:textId="3841AE03" w:rsidR="00682FD7" w:rsidRDefault="00682FD7" w:rsidP="00682FD7">
      <w:pPr>
        <w:pStyle w:val="Heading2"/>
        <w:divId w:val="935526654"/>
        <w:rPr>
          <w:lang w:val="en-GB"/>
        </w:rPr>
      </w:pPr>
      <w:r w:rsidRPr="00682FD7">
        <w:rPr>
          <w:lang w:val="en-GB"/>
        </w:rPr>
        <w:lastRenderedPageBreak/>
        <w:t>Imported diseases</w:t>
      </w:r>
    </w:p>
    <w:p w14:paraId="008E90A1" w14:textId="77777777" w:rsidR="00C92AA8" w:rsidRPr="00C92AA8" w:rsidRDefault="00C92AA8" w:rsidP="00C92AA8">
      <w:pPr>
        <w:divId w:val="935526654"/>
        <w:rPr>
          <w:lang w:val="en-GB"/>
        </w:rPr>
      </w:pPr>
      <w:r w:rsidRPr="00C92AA8">
        <w:rPr>
          <w:lang w:val="en-GB"/>
        </w:rPr>
        <w:t>Overall, notifications of imported diseases including chikungunya virus infection, cholera, dengue virus infection, malaria, measles, paratyphoid fever, and typhoid fever were all below their respective static five-year monthly means at the beginning of 2020, with further decreases in notifications observed from April 2020 onwards when Australia closed its international borders. Only a small number of notifications of selected imported diseases (dengue virus infection, malaria, paratyphoid fever, and typhoid fever) were reported in the remainder of 2020 and throughout 2021. There was a slight increase in December 2021 in notifications of malaria, typhoid fever, and dengue virus infection (Figure 6).</w:t>
      </w:r>
    </w:p>
    <w:p w14:paraId="4310B343" w14:textId="78FE32F1" w:rsidR="00AB79BD" w:rsidRDefault="00AB79BD" w:rsidP="00AB79BD">
      <w:pPr>
        <w:pStyle w:val="CDIFigure-Table-Title"/>
        <w:divId w:val="935526654"/>
      </w:pPr>
      <w:r w:rsidRPr="00AB79BD">
        <w:t>Figure 6: Imported disease notifications by disease, year and month of diagnosis, 1 January 2020 to 31</w:t>
      </w:r>
      <w:r>
        <w:t> </w:t>
      </w:r>
      <w:r w:rsidRPr="00AB79BD">
        <w:t>December 2021, Australia</w:t>
      </w:r>
    </w:p>
    <w:p w14:paraId="199F99C7" w14:textId="1ADB1AEC" w:rsidR="00C92AA8" w:rsidRDefault="00C92AA8" w:rsidP="00C92AA8">
      <w:pPr>
        <w:pStyle w:val="CDIFigure-Table-ImagePlaceholder"/>
        <w:rPr>
          <w:lang w:val="en-GB"/>
        </w:rPr>
      </w:pPr>
      <w:r>
        <w:rPr>
          <w:noProof/>
          <w:lang w:val="en-GB"/>
          <w14:ligatures w14:val="none"/>
        </w:rPr>
        <w:drawing>
          <wp:inline distT="0" distB="0" distL="0" distR="0" wp14:anchorId="2548667B" wp14:editId="0F7AFCDF">
            <wp:extent cx="6120765" cy="4011930"/>
            <wp:effectExtent l="0" t="0" r="0" b="7620"/>
            <wp:docPr id="7" name="Picture 7" descr="Figure 6: A histogram/bar chart summarising the epidemic curve of imported disease notifications numbers by year, month, and 5-year mean (2015–2019), from 1 January 2020 to 31 December 2021, Australia. There are a high number of cases in the first quarter of 2020. 2020, and a low number of cases for the remainder of 2020 and all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6: A histogram/bar chart summarising the epidemic curve of imported disease notifications numbers by year, month, and 5-year mean (2015–2019), from 1 January 2020 to 31 December 2021, Australia. There are a high number of cases in the first quarter of 2020. 2020, and a low number of cases for the remainder of 2020 and all of 2021."/>
                    <pic:cNvPicPr/>
                  </pic:nvPicPr>
                  <pic:blipFill>
                    <a:blip r:embed="rId21">
                      <a:extLst>
                        <a:ext uri="{28A0092B-C50C-407E-A947-70E740481C1C}">
                          <a14:useLocalDpi xmlns:a14="http://schemas.microsoft.com/office/drawing/2010/main" val="0"/>
                        </a:ext>
                      </a:extLst>
                    </a:blip>
                    <a:stretch>
                      <a:fillRect/>
                    </a:stretch>
                  </pic:blipFill>
                  <pic:spPr>
                    <a:xfrm>
                      <a:off x="0" y="0"/>
                      <a:ext cx="6120765" cy="4011930"/>
                    </a:xfrm>
                    <a:prstGeom prst="rect">
                      <a:avLst/>
                    </a:prstGeom>
                  </pic:spPr>
                </pic:pic>
              </a:graphicData>
            </a:graphic>
          </wp:inline>
        </w:drawing>
      </w:r>
      <w:r>
        <w:rPr>
          <w:lang w:val="en-GB"/>
        </w:rPr>
        <w:br w:type="page"/>
      </w:r>
    </w:p>
    <w:p w14:paraId="633237AF" w14:textId="16359CF1" w:rsidR="00682FD7" w:rsidRDefault="00682FD7" w:rsidP="00682FD7">
      <w:pPr>
        <w:pStyle w:val="Heading2"/>
        <w:divId w:val="935526654"/>
        <w:rPr>
          <w:lang w:val="en-GB"/>
        </w:rPr>
      </w:pPr>
      <w:r>
        <w:rPr>
          <w:lang w:val="en-GB"/>
        </w:rPr>
        <w:lastRenderedPageBreak/>
        <w:t>Other diseases</w:t>
      </w:r>
    </w:p>
    <w:p w14:paraId="44C0F7D1" w14:textId="77741520" w:rsidR="00682FD7" w:rsidRDefault="00682FD7" w:rsidP="00682FD7">
      <w:pPr>
        <w:pStyle w:val="Heading3"/>
        <w:divId w:val="935526654"/>
        <w:rPr>
          <w:lang w:val="en-GB"/>
        </w:rPr>
      </w:pPr>
      <w:r w:rsidRPr="00682FD7">
        <w:rPr>
          <w:lang w:val="en-GB"/>
        </w:rPr>
        <w:t>Psittacosis</w:t>
      </w:r>
    </w:p>
    <w:p w14:paraId="698EEF32" w14:textId="77777777" w:rsidR="00C92AA8" w:rsidRPr="00C92AA8" w:rsidRDefault="00C92AA8" w:rsidP="00C92AA8">
      <w:pPr>
        <w:divId w:val="935526654"/>
        <w:rPr>
          <w:lang w:val="en-GB"/>
        </w:rPr>
      </w:pPr>
      <w:r w:rsidRPr="00C92AA8">
        <w:rPr>
          <w:lang w:val="en-GB"/>
        </w:rPr>
        <w:t>For the majority of 2020 and 2021, psittacosis notifications were higher than the static five-year mean. In 2020, from the initial national lockdowns in March, notifications remained above the static five-year mean (Figure 7), with 64 notifications reported. This was almost three times the number of notifications reported in 2019 (n = 23) and more than three times as high as the static five-year mean (n = 19) (Table 1).</w:t>
      </w:r>
    </w:p>
    <w:p w14:paraId="2B7B35CB" w14:textId="77777777" w:rsidR="00C92AA8" w:rsidRPr="00C92AA8" w:rsidRDefault="00C92AA8" w:rsidP="00C92AA8">
      <w:pPr>
        <w:divId w:val="935526654"/>
        <w:rPr>
          <w:lang w:val="en-GB"/>
        </w:rPr>
      </w:pPr>
      <w:r w:rsidRPr="00C92AA8">
        <w:rPr>
          <w:lang w:val="en-GB"/>
        </w:rPr>
        <w:t>In the first four months of 2021, notifications initially reduced but then increased and remained above the static five-year mean from May 2021 to the end of the study period (Figure 7). In 2021, there were 35 psittacosis notifications reported, one and a half times the number of notifications reported in 2019 and almost double the static five-year mean (Table 1).</w:t>
      </w:r>
    </w:p>
    <w:p w14:paraId="30CB846A" w14:textId="77777777" w:rsidR="00C92AA8" w:rsidRPr="00C92AA8" w:rsidRDefault="00C92AA8" w:rsidP="00C92AA8">
      <w:pPr>
        <w:divId w:val="935526654"/>
        <w:rPr>
          <w:lang w:val="en-GB"/>
        </w:rPr>
      </w:pPr>
      <w:r w:rsidRPr="00C92AA8">
        <w:rPr>
          <w:lang w:val="en-GB"/>
        </w:rPr>
        <w:t>This increase in the 2020 rate of psittacosis corresponded to statistically significant increases when compared with 2019 and the static five-year mean. The increase in 2021 was only significant compared with the static five-year mean (Table 2).</w:t>
      </w:r>
    </w:p>
    <w:p w14:paraId="609E0BDE" w14:textId="4A7AF412" w:rsidR="00AB79BD" w:rsidRDefault="00AB79BD" w:rsidP="00AB79BD">
      <w:pPr>
        <w:pStyle w:val="CDIFigure-Table-Title"/>
        <w:divId w:val="935526654"/>
      </w:pPr>
      <w:r w:rsidRPr="00AB79BD">
        <w:t>Figure 7: Psittacosis notifications by year and month of diagnosis, 1 January 2020 to 31 December 2021, and static five-year mean (2015–2019), Australia</w:t>
      </w:r>
    </w:p>
    <w:p w14:paraId="5747B8E7" w14:textId="2A66C4C3" w:rsidR="00C92AA8" w:rsidRDefault="00C92AA8" w:rsidP="00C92AA8">
      <w:pPr>
        <w:pStyle w:val="CDIFigure-Table-ImagePlaceholder"/>
        <w:rPr>
          <w:lang w:val="en-GB"/>
        </w:rPr>
      </w:pPr>
      <w:r>
        <w:rPr>
          <w:noProof/>
          <w:lang w:val="en-GB"/>
          <w14:ligatures w14:val="none"/>
        </w:rPr>
        <w:drawing>
          <wp:inline distT="0" distB="0" distL="0" distR="0" wp14:anchorId="5E690326" wp14:editId="1DD59A11">
            <wp:extent cx="6120765" cy="4010660"/>
            <wp:effectExtent l="0" t="0" r="0" b="8890"/>
            <wp:docPr id="8" name="Picture 8" descr="Figure 7: A histogram/bar chart summarising the epidemic curve of psittacosis notifications numbers by year, month, and 5-year mean (2015–2019), from 1 January 2020 to 31 December 2021, Australia. Case numbers varied in 2020, with peaks in April, September and November. Cases in 2021  had peaks in May, August and October. Cases were above the five-year average for the majority of both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7: A histogram/bar chart summarising the epidemic curve of psittacosis notifications numbers by year, month, and 5-year mean (2015–2019), from 1 January 2020 to 31 December 2021, Australia. Case numbers varied in 2020, with peaks in April, September and November. Cases in 2021  had peaks in May, August and October. Cases were above the five-year average for the majority of both years."/>
                    <pic:cNvPicPr/>
                  </pic:nvPicPr>
                  <pic:blipFill>
                    <a:blip r:embed="rId22">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r>
        <w:rPr>
          <w:lang w:val="en-GB"/>
        </w:rPr>
        <w:br w:type="page"/>
      </w:r>
    </w:p>
    <w:p w14:paraId="41EDD077" w14:textId="7F26EB46" w:rsidR="00682FD7" w:rsidRDefault="00682FD7" w:rsidP="00682FD7">
      <w:pPr>
        <w:pStyle w:val="Heading3"/>
        <w:divId w:val="935526654"/>
        <w:rPr>
          <w:lang w:val="en-GB"/>
        </w:rPr>
      </w:pPr>
      <w:r w:rsidRPr="00682FD7">
        <w:rPr>
          <w:lang w:val="en-GB"/>
        </w:rPr>
        <w:lastRenderedPageBreak/>
        <w:t>Leptospirosis</w:t>
      </w:r>
    </w:p>
    <w:p w14:paraId="71FA6EC1" w14:textId="77777777" w:rsidR="00C92AA8" w:rsidRPr="00C92AA8" w:rsidRDefault="00C92AA8" w:rsidP="00C92AA8">
      <w:pPr>
        <w:divId w:val="935526654"/>
        <w:rPr>
          <w:lang w:val="en-GB"/>
        </w:rPr>
      </w:pPr>
      <w:r w:rsidRPr="00C92AA8">
        <w:rPr>
          <w:lang w:val="en-GB"/>
        </w:rPr>
        <w:t>Leptospirosis notifications remained stable during 2020. There was an increase in the first half of 2021, with notifications more than double the static five-year mean in March, April, and May 2021 (Figure 8). In 2020, there were 97 leptospirosis notifications reported, 18% higher than in 2019 (n = 82) but 15% lower than the static five-year mean (n = 114) (Table 1). In 2021, there were 247 leptospirosis notifications reported, almost three times the number of notifications reported in 2019 and just over double the static five-year mean (Table 1).</w:t>
      </w:r>
    </w:p>
    <w:p w14:paraId="2F77C6E5" w14:textId="77777777" w:rsidR="00C92AA8" w:rsidRPr="00C92AA8" w:rsidRDefault="00C92AA8" w:rsidP="00C92AA8">
      <w:pPr>
        <w:divId w:val="935526654"/>
        <w:rPr>
          <w:lang w:val="en-GB"/>
        </w:rPr>
      </w:pPr>
      <w:r w:rsidRPr="00C92AA8">
        <w:rPr>
          <w:lang w:val="en-GB"/>
        </w:rPr>
        <w:t>There was no statistically significant change to the notification rates of leptospirosis in 2020 compared with 2019 or the static five-year mean. However, in 2021, the observed increase corresponded to a significant increase compared to 2019 (NRR = 2.99; 95% CI: 1.77–5.05) and to the static five-year mean (NRR = 2.08; 95% CI: 1.27–3.4) (Table 2).</w:t>
      </w:r>
    </w:p>
    <w:p w14:paraId="0995FDAB" w14:textId="6F738578" w:rsidR="00AB79BD" w:rsidRDefault="00AB79BD" w:rsidP="00AB79BD">
      <w:pPr>
        <w:pStyle w:val="CDIFigure-Table-Title"/>
        <w:divId w:val="935526654"/>
      </w:pPr>
      <w:r w:rsidRPr="00AB79BD">
        <w:t>Figure 8: Leptospirosis notifications by year and month of diagnosis, 1 January 2020 to 31 December 2021, and static five-year mean (2015–2019), Australia</w:t>
      </w:r>
    </w:p>
    <w:p w14:paraId="7080272E" w14:textId="7F6BF157" w:rsidR="00C92AA8" w:rsidRDefault="00C92AA8" w:rsidP="00C92AA8">
      <w:pPr>
        <w:pStyle w:val="CDIFigure-Table-ImagePlaceholder"/>
      </w:pPr>
      <w:r>
        <w:rPr>
          <w:noProof/>
          <w14:ligatures w14:val="none"/>
        </w:rPr>
        <w:drawing>
          <wp:inline distT="0" distB="0" distL="0" distR="0" wp14:anchorId="360727F5" wp14:editId="51A3BE57">
            <wp:extent cx="6120765" cy="4010660"/>
            <wp:effectExtent l="0" t="0" r="0" b="8890"/>
            <wp:docPr id="9" name="Picture 9" descr="Figure 8: A histogram/bar chart summarising the epidemic curve of leptospirosis notifications numbers by year, month, and 5-year mean (2015–2019), from 1 January 2020 to 31 December 2021, Australia. Cases were in line with the 5 year average in 2020, and an outbreak occurred in the first half of the year of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8: A histogram/bar chart summarising the epidemic curve of leptospirosis notifications numbers by year, month, and 5-year mean (2015–2019), from 1 January 2020 to 31 December 2021, Australia. Cases were in line with the 5 year average in 2020, and an outbreak occurred in the first half of the year of 2021. "/>
                    <pic:cNvPicPr/>
                  </pic:nvPicPr>
                  <pic:blipFill>
                    <a:blip r:embed="rId23">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r>
        <w:br w:type="page"/>
      </w:r>
    </w:p>
    <w:p w14:paraId="56293A83" w14:textId="47B99B0E" w:rsidR="00682FD7" w:rsidRDefault="00682FD7" w:rsidP="00682FD7">
      <w:pPr>
        <w:pStyle w:val="Heading3"/>
        <w:divId w:val="935526654"/>
        <w:rPr>
          <w:lang w:val="en-GB"/>
        </w:rPr>
      </w:pPr>
      <w:r w:rsidRPr="00682FD7">
        <w:rPr>
          <w:lang w:val="en-GB"/>
        </w:rPr>
        <w:lastRenderedPageBreak/>
        <w:t>Legionellosis</w:t>
      </w:r>
    </w:p>
    <w:p w14:paraId="5021F88F" w14:textId="77777777" w:rsidR="00C92AA8" w:rsidRPr="00C92AA8" w:rsidRDefault="00C92AA8" w:rsidP="00C92AA8">
      <w:pPr>
        <w:divId w:val="935526654"/>
        <w:rPr>
          <w:lang w:val="en-GB"/>
        </w:rPr>
      </w:pPr>
      <w:r w:rsidRPr="00C92AA8">
        <w:rPr>
          <w:lang w:val="en-GB"/>
        </w:rPr>
        <w:t>In 2020, there were 527 legionellosis notifications reported, which was 20% higher than in 2019 (n = 440) and 31% higher than the static five-year mean (n = 401) (Table 1). In 2021, there were 574 legionellosis notifications reported, 30% higher than 2019 and 43% higher than the static five-year mean (Table 1).</w:t>
      </w:r>
    </w:p>
    <w:p w14:paraId="42496BB4" w14:textId="77777777" w:rsidR="00C92AA8" w:rsidRPr="00C92AA8" w:rsidRDefault="00C92AA8" w:rsidP="00C92AA8">
      <w:pPr>
        <w:divId w:val="935526654"/>
        <w:rPr>
          <w:lang w:val="en-GB"/>
        </w:rPr>
      </w:pPr>
      <w:r w:rsidRPr="00C92AA8">
        <w:rPr>
          <w:lang w:val="en-GB"/>
        </w:rPr>
        <w:t xml:space="preserve">These increases corresponded to a statistically significant increase in the notification rates of legionellosis per 100,000 population in 2020 and 2021 when compared with both 2019 and the static five-year mean (Table 2). When analysed by species, the observed increase in notification rates was significant for notifications of </w:t>
      </w:r>
      <w:r w:rsidRPr="00C92AA8">
        <w:rPr>
          <w:i/>
          <w:iCs/>
          <w:lang w:val="en-GB"/>
        </w:rPr>
        <w:t>L. longbeachae</w:t>
      </w:r>
      <w:r w:rsidRPr="00C92AA8">
        <w:rPr>
          <w:lang w:val="en-GB"/>
        </w:rPr>
        <w:t xml:space="preserve"> but not </w:t>
      </w:r>
      <w:r w:rsidRPr="00C92AA8">
        <w:rPr>
          <w:i/>
          <w:iCs/>
          <w:lang w:val="en-GB"/>
        </w:rPr>
        <w:t xml:space="preserve">L. pneumophila </w:t>
      </w:r>
      <w:r w:rsidRPr="00C92AA8">
        <w:rPr>
          <w:lang w:val="en-GB"/>
        </w:rPr>
        <w:t>(Table 2).</w:t>
      </w:r>
    </w:p>
    <w:p w14:paraId="15B5B3E2" w14:textId="01AB0F58" w:rsidR="00C92AA8" w:rsidRPr="00C92AA8" w:rsidRDefault="00C92AA8" w:rsidP="00C92AA8">
      <w:pPr>
        <w:divId w:val="935526654"/>
        <w:rPr>
          <w:lang w:val="en-GB"/>
        </w:rPr>
      </w:pPr>
      <w:r w:rsidRPr="00C92AA8">
        <w:rPr>
          <w:lang w:val="en-GB"/>
        </w:rPr>
        <w:t xml:space="preserve">Notifications of </w:t>
      </w:r>
      <w:r w:rsidRPr="00C92AA8">
        <w:rPr>
          <w:i/>
          <w:iCs/>
          <w:lang w:val="en-GB"/>
        </w:rPr>
        <w:t>L. pneumophila</w:t>
      </w:r>
      <w:r w:rsidRPr="00C92AA8">
        <w:rPr>
          <w:lang w:val="en-GB"/>
        </w:rPr>
        <w:t xml:space="preserve"> showed increases prior to the expected seasonal peaks, with 2020 and 2021 notifications both peaking in March, compared with the static five-year mean peak occurring in May (Figure</w:t>
      </w:r>
      <w:r>
        <w:rPr>
          <w:lang w:val="en-GB"/>
        </w:rPr>
        <w:t> </w:t>
      </w:r>
      <w:r w:rsidRPr="00C92AA8">
        <w:rPr>
          <w:lang w:val="en-GB"/>
        </w:rPr>
        <w:t xml:space="preserve">9). Notifications of </w:t>
      </w:r>
      <w:r w:rsidRPr="00C92AA8">
        <w:rPr>
          <w:i/>
          <w:iCs/>
          <w:lang w:val="en-GB"/>
        </w:rPr>
        <w:t>L. longbeachae</w:t>
      </w:r>
      <w:r w:rsidRPr="00C92AA8">
        <w:rPr>
          <w:lang w:val="en-GB"/>
        </w:rPr>
        <w:t xml:space="preserve"> were elevated for most of the study period but remained seasonal (Figure 10).</w:t>
      </w:r>
    </w:p>
    <w:p w14:paraId="76C29042" w14:textId="77777777" w:rsidR="00C92AA8" w:rsidRPr="00C92AA8" w:rsidRDefault="00C92AA8" w:rsidP="00C92AA8">
      <w:pPr>
        <w:divId w:val="935526654"/>
        <w:rPr>
          <w:lang w:val="en-GB"/>
        </w:rPr>
      </w:pPr>
      <w:r w:rsidRPr="00C92AA8">
        <w:rPr>
          <w:lang w:val="en-GB"/>
        </w:rPr>
        <w:t xml:space="preserve">In 2020, the notification rate of </w:t>
      </w:r>
      <w:r w:rsidRPr="00C92AA8">
        <w:rPr>
          <w:i/>
          <w:iCs/>
          <w:lang w:val="en-GB"/>
        </w:rPr>
        <w:t>L. longbeachae</w:t>
      </w:r>
      <w:r w:rsidRPr="00C92AA8">
        <w:rPr>
          <w:lang w:val="en-GB"/>
        </w:rPr>
        <w:t xml:space="preserve"> was 1.0 per 100,000 population, compared with 0.8 per 100,000 population in 2019 (NRR = 1.37; 95% CI: 1.14–1.65), and 0.7 per 100,000 population per year in the static five-year pre-pandemic mean (NRR = 1.57; 95% CI: 1.36–1.81).</w:t>
      </w:r>
    </w:p>
    <w:p w14:paraId="212525CB" w14:textId="77777777" w:rsidR="00C92AA8" w:rsidRPr="00C92AA8" w:rsidRDefault="00C92AA8" w:rsidP="00C92AA8">
      <w:pPr>
        <w:divId w:val="935526654"/>
        <w:rPr>
          <w:lang w:val="en-GB"/>
        </w:rPr>
      </w:pPr>
      <w:r w:rsidRPr="00C92AA8">
        <w:rPr>
          <w:lang w:val="en-GB"/>
        </w:rPr>
        <w:t xml:space="preserve">In 2021, the notification rate of </w:t>
      </w:r>
      <w:r w:rsidRPr="00C92AA8">
        <w:rPr>
          <w:i/>
          <w:iCs/>
          <w:lang w:val="en-GB"/>
        </w:rPr>
        <w:t>L. longbeachae</w:t>
      </w:r>
      <w:r w:rsidRPr="00C92AA8">
        <w:rPr>
          <w:lang w:val="en-GB"/>
        </w:rPr>
        <w:t xml:space="preserve"> was considerably higher than in 2019 (NRR = 1.45; 95% CI: 1.21–1.74) and compared to the static five-year mean (NRR = 1.65; 95% CI: 1.43–1.90) (Table 2).</w:t>
      </w:r>
    </w:p>
    <w:p w14:paraId="3C5C22BA" w14:textId="214E199B" w:rsidR="00AB79BD" w:rsidRDefault="00AB79BD" w:rsidP="00AB79BD">
      <w:pPr>
        <w:pStyle w:val="CDIFigure-Table-Title"/>
        <w:divId w:val="935526654"/>
      </w:pPr>
      <w:r w:rsidRPr="00AB79BD">
        <w:t xml:space="preserve">Figure 9: </w:t>
      </w:r>
      <w:r w:rsidRPr="00AB79BD">
        <w:rPr>
          <w:i/>
          <w:iCs/>
        </w:rPr>
        <w:t>Legionella pneumophila</w:t>
      </w:r>
      <w:r w:rsidRPr="00AB79BD">
        <w:t xml:space="preserve"> notifications by year and month of diagnosis, 1 January 2020 to 31</w:t>
      </w:r>
      <w:r>
        <w:t> </w:t>
      </w:r>
      <w:r w:rsidRPr="00AB79BD">
        <w:t>December 2021, and static five-year mean (2015–2019), Australia</w:t>
      </w:r>
    </w:p>
    <w:p w14:paraId="35AD0014" w14:textId="787BAC8D" w:rsidR="00AB79BD" w:rsidRDefault="00C92AA8" w:rsidP="00AB79BD">
      <w:pPr>
        <w:pStyle w:val="CDIFigure-Table-ImagePlaceholder"/>
        <w:divId w:val="935526654"/>
      </w:pPr>
      <w:r>
        <w:rPr>
          <w:noProof/>
          <w14:ligatures w14:val="none"/>
        </w:rPr>
        <w:drawing>
          <wp:inline distT="0" distB="0" distL="0" distR="0" wp14:anchorId="3B97A49E" wp14:editId="40DE989D">
            <wp:extent cx="6120765" cy="4010660"/>
            <wp:effectExtent l="0" t="0" r="0" b="8890"/>
            <wp:docPr id="10" name="Picture 10" descr="Figure 9: A histogram/bar chart summarising the epidemic curve of Legionella pneumophila notifications numbers by year, month, and 5-year mean (2015–2019), from 1 January 2020 to 31 December 2021, Australia. Case numbers were above the 5 year mean in the first half of 2020, and in November and December 2020. This same trend was observed in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9: A histogram/bar chart summarising the epidemic curve of Legionella pneumophila notifications numbers by year, month, and 5-year mean (2015–2019), from 1 January 2020 to 31 December 2021, Australia. Case numbers were above the 5 year mean in the first half of 2020, and in November and December 2020. This same trend was observed in 2021. "/>
                    <pic:cNvPicPr/>
                  </pic:nvPicPr>
                  <pic:blipFill>
                    <a:blip r:embed="rId24">
                      <a:extLst>
                        <a:ext uri="{28A0092B-C50C-407E-A947-70E740481C1C}">
                          <a14:useLocalDpi xmlns:a14="http://schemas.microsoft.com/office/drawing/2010/main" val="0"/>
                        </a:ext>
                      </a:extLst>
                    </a:blip>
                    <a:stretch>
                      <a:fillRect/>
                    </a:stretch>
                  </pic:blipFill>
                  <pic:spPr>
                    <a:xfrm>
                      <a:off x="0" y="0"/>
                      <a:ext cx="6120765" cy="4010660"/>
                    </a:xfrm>
                    <a:prstGeom prst="rect">
                      <a:avLst/>
                    </a:prstGeom>
                  </pic:spPr>
                </pic:pic>
              </a:graphicData>
            </a:graphic>
          </wp:inline>
        </w:drawing>
      </w:r>
    </w:p>
    <w:p w14:paraId="48E8D62F" w14:textId="3BAC2F56" w:rsidR="00AB79BD" w:rsidRDefault="00AB79BD" w:rsidP="00AB79BD">
      <w:pPr>
        <w:pStyle w:val="CDIFigure-Table-Titlemorespacebefore"/>
        <w:divId w:val="935526654"/>
      </w:pPr>
      <w:r w:rsidRPr="00AB79BD">
        <w:lastRenderedPageBreak/>
        <w:t xml:space="preserve">Figure 10: </w:t>
      </w:r>
      <w:r w:rsidRPr="00AB79BD">
        <w:rPr>
          <w:i/>
          <w:iCs/>
        </w:rPr>
        <w:t>Legionella longbeachae</w:t>
      </w:r>
      <w:r w:rsidRPr="00AB79BD">
        <w:t xml:space="preserve"> notifications by year and month of diagnosis, 1 January 2020 to 31 December 2021, and static five-year mean (2015–2019), Australia</w:t>
      </w:r>
    </w:p>
    <w:p w14:paraId="276D9787" w14:textId="0B17B0CF" w:rsidR="00AB79BD" w:rsidRDefault="00C92AA8" w:rsidP="00AB79BD">
      <w:pPr>
        <w:pStyle w:val="CDIFigure-Table-ImagePlaceholder"/>
        <w:divId w:val="935526654"/>
      </w:pPr>
      <w:r>
        <w:rPr>
          <w:noProof/>
          <w14:ligatures w14:val="none"/>
        </w:rPr>
        <w:drawing>
          <wp:inline distT="0" distB="0" distL="0" distR="0" wp14:anchorId="26E6B62A" wp14:editId="6721E7A9">
            <wp:extent cx="6120765" cy="4006215"/>
            <wp:effectExtent l="0" t="0" r="0" b="0"/>
            <wp:docPr id="11" name="Picture 11" descr="Figure 10: A histogram/bar chart summarising the epidemic curve of Legionella longbeachae notifications numbers by year, month, and 5-year mean (2015–2019), from 1 January 2020 to 31 December 2021, Australia. For the majority of 2020 and 2021, cases were above the 5 year mean with greater increases at the end of each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10: A histogram/bar chart summarising the epidemic curve of Legionella longbeachae notifications numbers by year, month, and 5-year mean (2015–2019), from 1 January 2020 to 31 December 2021, Australia. For the majority of 2020 and 2021, cases were above the 5 year mean with greater increases at the end of each year. "/>
                    <pic:cNvPicPr/>
                  </pic:nvPicPr>
                  <pic:blipFill>
                    <a:blip r:embed="rId25">
                      <a:extLst>
                        <a:ext uri="{28A0092B-C50C-407E-A947-70E740481C1C}">
                          <a14:useLocalDpi xmlns:a14="http://schemas.microsoft.com/office/drawing/2010/main" val="0"/>
                        </a:ext>
                      </a:extLst>
                    </a:blip>
                    <a:stretch>
                      <a:fillRect/>
                    </a:stretch>
                  </pic:blipFill>
                  <pic:spPr>
                    <a:xfrm>
                      <a:off x="0" y="0"/>
                      <a:ext cx="6120765" cy="4006215"/>
                    </a:xfrm>
                    <a:prstGeom prst="rect">
                      <a:avLst/>
                    </a:prstGeom>
                  </pic:spPr>
                </pic:pic>
              </a:graphicData>
            </a:graphic>
          </wp:inline>
        </w:drawing>
      </w:r>
    </w:p>
    <w:p w14:paraId="729E4F0F" w14:textId="77777777" w:rsidR="00B63015" w:rsidRDefault="00B63015" w:rsidP="00B63015">
      <w:pPr>
        <w:pStyle w:val="Heading1"/>
        <w:divId w:val="935526654"/>
        <w:rPr>
          <w:lang w:val="en-GB"/>
        </w:rPr>
      </w:pPr>
      <w:r w:rsidRPr="00702D05">
        <w:rPr>
          <w:lang w:val="en-GB"/>
        </w:rPr>
        <w:t>Discussion</w:t>
      </w:r>
    </w:p>
    <w:p w14:paraId="7D5AAF8A" w14:textId="77777777" w:rsidR="00682FD7" w:rsidRPr="00682FD7" w:rsidRDefault="00682FD7" w:rsidP="00682FD7">
      <w:pPr>
        <w:divId w:val="935526654"/>
        <w:rPr>
          <w:lang w:val="en-GB"/>
        </w:rPr>
      </w:pPr>
      <w:r w:rsidRPr="00682FD7">
        <w:rPr>
          <w:lang w:val="en-GB"/>
        </w:rPr>
        <w:t>We have identified that public health measures implemented in 2020 and 2021 and behavioural changes (such as increase hand hygiene, voluntary mask wearing, and health seeking behaviour) in response to the COVID-19 pandemic, coincided with changes in notifications for nationally notifiable diseases in Australia. Similar to the findings from the preliminary analysis conducted by Bright et al.</w:t>
      </w:r>
      <w:r w:rsidRPr="00682FD7">
        <w:rPr>
          <w:vertAlign w:val="superscript"/>
          <w:lang w:val="en-GB"/>
        </w:rPr>
        <w:t>1</w:t>
      </w:r>
      <w:r w:rsidRPr="00682FD7">
        <w:rPr>
          <w:lang w:val="en-GB"/>
        </w:rPr>
        <w:t xml:space="preserve"> in 2020, we found that during the pandemic years of 2020 and 2021, notifications for many diseases decreased. However, our analysis also identified several diseases where increases were observed.</w:t>
      </w:r>
    </w:p>
    <w:p w14:paraId="1B0D380C" w14:textId="77777777" w:rsidR="00682FD7" w:rsidRPr="00682FD7" w:rsidRDefault="00682FD7" w:rsidP="00682FD7">
      <w:pPr>
        <w:divId w:val="935526654"/>
        <w:rPr>
          <w:lang w:val="en-GB"/>
        </w:rPr>
      </w:pPr>
      <w:r w:rsidRPr="00682FD7">
        <w:rPr>
          <w:lang w:val="en-GB"/>
        </w:rPr>
        <w:t>The public health measures implemented to slow the transmission of COVID-19 appear to have been associated with reductions in nearly all diseases categorised as ‘social’ in Australia, with lockdowns, mask mandates, and increased hand and improved respiratory hygiene most likely contributing.</w:t>
      </w:r>
      <w:r w:rsidRPr="00682FD7">
        <w:rPr>
          <w:vertAlign w:val="superscript"/>
          <w:lang w:val="en-GB"/>
        </w:rPr>
        <w:t>11</w:t>
      </w:r>
      <w:r w:rsidRPr="00682FD7">
        <w:rPr>
          <w:lang w:val="en-GB"/>
        </w:rPr>
        <w:t xml:space="preserve"> However, a proportion of the reductions seen in non-respiratory diseases may be attributable to changes in individual health-seeking behaviour and reductions in the availability of infectious disease screening programs and routine testing, that were put on hold during the pandemic years rather than entirely reflecting actual decreases in incidence.</w:t>
      </w:r>
      <w:r w:rsidRPr="00682FD7">
        <w:rPr>
          <w:vertAlign w:val="superscript"/>
          <w:lang w:val="en-GB"/>
        </w:rPr>
        <w:t>12</w:t>
      </w:r>
    </w:p>
    <w:p w14:paraId="652BE206" w14:textId="77777777" w:rsidR="00682FD7" w:rsidRPr="00682FD7" w:rsidRDefault="00682FD7" w:rsidP="00682FD7">
      <w:pPr>
        <w:divId w:val="935526654"/>
        <w:rPr>
          <w:lang w:val="en-GB"/>
        </w:rPr>
      </w:pPr>
      <w:r w:rsidRPr="00682FD7">
        <w:rPr>
          <w:lang w:val="en-GB"/>
        </w:rPr>
        <w:t>As discussed by the Doherty Institute, there were considerable decreases in chlamydia and gonorrhoea screening during 2020. These decreases resulted in 90,000 fewer people being screened for chlamydia, contributing to the observed reduction in notification rates.</w:t>
      </w:r>
      <w:r w:rsidRPr="00682FD7">
        <w:rPr>
          <w:vertAlign w:val="superscript"/>
          <w:lang w:val="en-GB"/>
        </w:rPr>
        <w:t>13</w:t>
      </w:r>
    </w:p>
    <w:p w14:paraId="5F8AECD3" w14:textId="77777777" w:rsidR="00682FD7" w:rsidRPr="00682FD7" w:rsidRDefault="00682FD7" w:rsidP="00682FD7">
      <w:pPr>
        <w:divId w:val="935526654"/>
        <w:rPr>
          <w:lang w:val="en-GB"/>
        </w:rPr>
      </w:pPr>
      <w:r w:rsidRPr="00682FD7">
        <w:rPr>
          <w:lang w:val="en-GB"/>
        </w:rPr>
        <w:lastRenderedPageBreak/>
        <w:t>We observed an increase in rotavirus notifications at the end of 2021, largely driven by increased notifications in the Northern Territory, South Australia, and Western Australia, which at the time did not have active COVID-19 public health measures for their resident populations.</w:t>
      </w:r>
      <w:r w:rsidRPr="00682FD7">
        <w:rPr>
          <w:vertAlign w:val="superscript"/>
          <w:lang w:val="en-GB"/>
        </w:rPr>
        <w:t>14</w:t>
      </w:r>
      <w:r w:rsidRPr="00682FD7">
        <w:rPr>
          <w:lang w:val="en-GB"/>
        </w:rPr>
        <w:t xml:space="preserve"> Overall, during 2020 and 2021, rotavirus notifications decreased, consistent with notification trends seen in other social diseases.</w:t>
      </w:r>
    </w:p>
    <w:p w14:paraId="6FAC4306" w14:textId="2FA7A316" w:rsidR="00682FD7" w:rsidRPr="00682FD7" w:rsidRDefault="00682FD7" w:rsidP="00682FD7">
      <w:pPr>
        <w:divId w:val="935526654"/>
        <w:rPr>
          <w:lang w:val="en-GB"/>
        </w:rPr>
      </w:pPr>
      <w:r w:rsidRPr="00682FD7">
        <w:rPr>
          <w:lang w:val="en-GB"/>
        </w:rPr>
        <w:t>For gastrointestinal diseases, decreases were seen in typhoid fever, cryptosporidium, hepatitis A, hepatitis E, and shigellosis, all of which are diseases primarily transmitted via the faecal-oral route.</w:t>
      </w:r>
      <w:r w:rsidRPr="00682FD7">
        <w:rPr>
          <w:vertAlign w:val="superscript"/>
          <w:lang w:val="en-GB"/>
        </w:rPr>
        <w:t>15</w:t>
      </w:r>
      <w:r w:rsidRPr="00682FD7">
        <w:rPr>
          <w:lang w:val="en-GB"/>
        </w:rPr>
        <w:t xml:space="preserve"> Whilst these decreases could be partially attributed to social distancing measures and increased hand hygiene during the pandemic, it is important to note that typhoid fever, hepatitis A, and hepatitis E are only rarely locally acquired in Australia, and are most often notified in returned travellers having acquired their infection overseas.</w:t>
      </w:r>
      <w:r w:rsidRPr="00682FD7">
        <w:rPr>
          <w:vertAlign w:val="superscript"/>
          <w:lang w:val="en-GB"/>
        </w:rPr>
        <w:t>16</w:t>
      </w:r>
      <w:r w:rsidRPr="00682FD7">
        <w:rPr>
          <w:lang w:val="en-GB"/>
        </w:rPr>
        <w:t xml:space="preserve"> While shigellosis is endemic in Australia, the rapid decline in notifications observed during the period of international border closures indicates that a large proportion of shigellosis cases may be overseas-acquired infections. Therefore, the observed decrease in shigellosis notifications is more likely to be attributed to decreased international travel, with 2020 and 2021 notification rates most likely representing endemic transmission of this disease in Australia. It is possible that these reductions may also be overestimated due to reduced pathology testing that occurred during the pandemic years.</w:t>
      </w:r>
    </w:p>
    <w:p w14:paraId="3E943E5B" w14:textId="77777777" w:rsidR="00682FD7" w:rsidRPr="00682FD7" w:rsidRDefault="00682FD7" w:rsidP="00682FD7">
      <w:pPr>
        <w:divId w:val="935526654"/>
        <w:rPr>
          <w:lang w:val="en-GB"/>
        </w:rPr>
      </w:pPr>
      <w:r w:rsidRPr="00682FD7">
        <w:rPr>
          <w:lang w:val="en-GB"/>
        </w:rPr>
        <w:t>Reductions observed in foodborne gastrointestinal disease notifications are likely to be attributable to decreased attendance at food establishments during lockdown periods and to a reduction in health-seeking behaviour or testing, as hypothesised by Bright et al.</w:t>
      </w:r>
      <w:r w:rsidRPr="00682FD7">
        <w:rPr>
          <w:vertAlign w:val="superscript"/>
          <w:lang w:val="en-GB"/>
        </w:rPr>
        <w:t>1</w:t>
      </w:r>
      <w:r w:rsidRPr="00682FD7">
        <w:rPr>
          <w:lang w:val="en-GB"/>
        </w:rPr>
        <w:t xml:space="preserve"> A study of gastrointestinal outbreaks in the United Kingdom during the pandemic years supports this, showing there were reduced odds of a food establishment being implicated in a gastrointestinal outbreak during periods of public health measures.</w:t>
      </w:r>
      <w:r w:rsidRPr="00682FD7">
        <w:rPr>
          <w:vertAlign w:val="superscript"/>
          <w:lang w:val="en-GB"/>
        </w:rPr>
        <w:t>17</w:t>
      </w:r>
    </w:p>
    <w:p w14:paraId="58290897" w14:textId="77777777" w:rsidR="00682FD7" w:rsidRPr="00682FD7" w:rsidRDefault="00682FD7" w:rsidP="00682FD7">
      <w:pPr>
        <w:divId w:val="935526654"/>
        <w:rPr>
          <w:lang w:val="en-GB"/>
        </w:rPr>
      </w:pPr>
      <w:r w:rsidRPr="00682FD7">
        <w:rPr>
          <w:lang w:val="en-GB"/>
        </w:rPr>
        <w:t>Diseases where the source of infection occurs more commonly overseas, such a paratyphoid, typhoid, and measles, decreased substantially in Australia when international borders were closed in March 2020. Similar trends have also observed internationally, and specifically measles incidence across Europe.</w:t>
      </w:r>
      <w:r w:rsidRPr="00682FD7">
        <w:rPr>
          <w:vertAlign w:val="superscript"/>
          <w:lang w:val="en-GB"/>
        </w:rPr>
        <w:t>5,7,18</w:t>
      </w:r>
    </w:p>
    <w:p w14:paraId="393B7966" w14:textId="77777777" w:rsidR="00682FD7" w:rsidRPr="00682FD7" w:rsidRDefault="00682FD7" w:rsidP="00682FD7">
      <w:pPr>
        <w:divId w:val="935526654"/>
        <w:rPr>
          <w:lang w:val="en-GB"/>
        </w:rPr>
      </w:pPr>
      <w:r w:rsidRPr="00682FD7">
        <w:rPr>
          <w:lang w:val="en-GB"/>
        </w:rPr>
        <w:t>Our study demonstrated that notifications of some vector-borne and zoonotic diseases, endemic in Australia, increased during 2020 and 2021, a trend also observed internationally and attributed to the combination of changes in population movements, working from home and increased outdoor exercise.</w:t>
      </w:r>
      <w:r w:rsidRPr="00682FD7">
        <w:rPr>
          <w:vertAlign w:val="superscript"/>
          <w:lang w:val="en-GB"/>
        </w:rPr>
        <w:t>6,7,19</w:t>
      </w:r>
    </w:p>
    <w:p w14:paraId="39AD1127" w14:textId="77777777" w:rsidR="00682FD7" w:rsidRPr="00682FD7" w:rsidRDefault="00682FD7" w:rsidP="00682FD7">
      <w:pPr>
        <w:divId w:val="935526654"/>
        <w:rPr>
          <w:lang w:val="en-GB"/>
        </w:rPr>
      </w:pPr>
      <w:r w:rsidRPr="00682FD7">
        <w:rPr>
          <w:lang w:val="en-GB"/>
        </w:rPr>
        <w:t>Increases in psittacosis observed in 2020 may have been associated with increased levels of avian illness during the same period,</w:t>
      </w:r>
      <w:r w:rsidRPr="00682FD7">
        <w:rPr>
          <w:vertAlign w:val="superscript"/>
          <w:lang w:val="en-GB"/>
        </w:rPr>
        <w:t>20</w:t>
      </w:r>
      <w:r w:rsidRPr="00682FD7">
        <w:rPr>
          <w:lang w:val="en-GB"/>
        </w:rPr>
        <w:t xml:space="preserve"> and by increases in people undertaking outdoor exercise, or being outdoors during lockdowns with potential exposure to wild birds. Enhanced testing for respiratory illness’ during the same period may have also driven this observed increase further.</w:t>
      </w:r>
      <w:r w:rsidRPr="00682FD7">
        <w:rPr>
          <w:vertAlign w:val="superscript"/>
          <w:lang w:val="en-GB"/>
        </w:rPr>
        <w:t>21,22</w:t>
      </w:r>
      <w:r w:rsidRPr="00682FD7">
        <w:rPr>
          <w:lang w:val="en-GB"/>
        </w:rPr>
        <w:t xml:space="preserve"> Increases in psittacosis notifications were not observed in 2021.</w:t>
      </w:r>
    </w:p>
    <w:p w14:paraId="6F626664" w14:textId="77777777" w:rsidR="00682FD7" w:rsidRPr="00682FD7" w:rsidRDefault="00682FD7" w:rsidP="00682FD7">
      <w:pPr>
        <w:divId w:val="935526654"/>
        <w:rPr>
          <w:lang w:val="en-GB"/>
        </w:rPr>
      </w:pPr>
      <w:r w:rsidRPr="00682FD7">
        <w:rPr>
          <w:lang w:val="en-GB"/>
        </w:rPr>
        <w:t>The increase in leptospirosis notifications in 2021 aligned with major flooding events that occurred in Australia, due to extreme rainfall along the Australian east coast in the first half of 2021. Flooding events are commonly associated with leptospirosis outbreaks due to exposure to turbid water.</w:t>
      </w:r>
      <w:r w:rsidRPr="00682FD7">
        <w:rPr>
          <w:vertAlign w:val="superscript"/>
          <w:lang w:val="en-GB"/>
        </w:rPr>
        <w:t>23</w:t>
      </w:r>
      <w:r w:rsidRPr="00682FD7">
        <w:rPr>
          <w:lang w:val="en-GB"/>
        </w:rPr>
        <w:t xml:space="preserve"> Additionally, a rise in rodent activity on the east coast of Australia was also observed in the same period, with leptospirosis infection known to be associated with exposure to infected rodent urine.</w:t>
      </w:r>
      <w:r w:rsidRPr="00682FD7">
        <w:rPr>
          <w:vertAlign w:val="superscript"/>
          <w:lang w:val="en-GB"/>
        </w:rPr>
        <w:t>15,24</w:t>
      </w:r>
    </w:p>
    <w:p w14:paraId="2CFF0A4F" w14:textId="77777777" w:rsidR="00682FD7" w:rsidRPr="00682FD7" w:rsidRDefault="00682FD7" w:rsidP="00682FD7">
      <w:pPr>
        <w:divId w:val="935526654"/>
        <w:rPr>
          <w:lang w:val="en-GB"/>
        </w:rPr>
      </w:pPr>
      <w:r w:rsidRPr="00682FD7">
        <w:rPr>
          <w:lang w:val="en-GB"/>
        </w:rPr>
        <w:t xml:space="preserve">There was a significant increase in </w:t>
      </w:r>
      <w:r w:rsidRPr="00682FD7">
        <w:rPr>
          <w:i/>
          <w:iCs/>
          <w:lang w:val="en-GB"/>
        </w:rPr>
        <w:t xml:space="preserve">L. longbeachae </w:t>
      </w:r>
      <w:r w:rsidRPr="00682FD7">
        <w:rPr>
          <w:lang w:val="en-GB"/>
        </w:rPr>
        <w:t>notifications during the pandemic years, likely driven by an increase in exposure through recreational gardening during lockdowns,</w:t>
      </w:r>
      <w:r w:rsidRPr="00682FD7">
        <w:rPr>
          <w:vertAlign w:val="superscript"/>
          <w:lang w:val="en-GB"/>
        </w:rPr>
        <w:t>25,26</w:t>
      </w:r>
      <w:r w:rsidRPr="00682FD7">
        <w:rPr>
          <w:lang w:val="en-GB"/>
        </w:rPr>
        <w:t xml:space="preserve"> paired with periods of flooding along the east coast of Australia, increasing soil proliferation of </w:t>
      </w:r>
      <w:r w:rsidRPr="00682FD7">
        <w:rPr>
          <w:i/>
          <w:iCs/>
          <w:lang w:val="en-GB"/>
        </w:rPr>
        <w:t>L. longbeachae</w:t>
      </w:r>
      <w:r w:rsidRPr="00682FD7">
        <w:rPr>
          <w:lang w:val="en-GB"/>
        </w:rPr>
        <w:t>.</w:t>
      </w:r>
      <w:r w:rsidRPr="00682FD7">
        <w:rPr>
          <w:vertAlign w:val="superscript"/>
          <w:lang w:val="en-GB"/>
        </w:rPr>
        <w:t>15,27</w:t>
      </w:r>
      <w:r w:rsidRPr="00682FD7">
        <w:rPr>
          <w:lang w:val="en-GB"/>
        </w:rPr>
        <w:t xml:space="preserve"> In addition, due to the similar symptomology of legionellosis and COVID-19, it is possible that these observed increases may </w:t>
      </w:r>
      <w:r w:rsidRPr="00682FD7">
        <w:rPr>
          <w:lang w:val="en-GB"/>
        </w:rPr>
        <w:lastRenderedPageBreak/>
        <w:t>have been partially due to improved case ascertainment, as differential testing for cases presenting with COVID-19-like symptoms resulted in confirmation of cases as Pontiac fever.</w:t>
      </w:r>
      <w:r w:rsidRPr="00682FD7">
        <w:rPr>
          <w:vertAlign w:val="superscript"/>
          <w:lang w:val="en-GB"/>
        </w:rPr>
        <w:t>28</w:t>
      </w:r>
    </w:p>
    <w:p w14:paraId="4F3B3577" w14:textId="77777777" w:rsidR="00682FD7" w:rsidRPr="00682FD7" w:rsidRDefault="00682FD7" w:rsidP="00682FD7">
      <w:pPr>
        <w:divId w:val="935526654"/>
        <w:rPr>
          <w:lang w:val="en-GB"/>
        </w:rPr>
      </w:pPr>
      <w:r w:rsidRPr="00682FD7">
        <w:rPr>
          <w:lang w:val="en-GB"/>
        </w:rPr>
        <w:t xml:space="preserve">Whilst we found no significant change in the annual notification rates of </w:t>
      </w:r>
      <w:r w:rsidRPr="00682FD7">
        <w:rPr>
          <w:i/>
          <w:iCs/>
          <w:lang w:val="en-GB"/>
        </w:rPr>
        <w:t>L. pneumophila</w:t>
      </w:r>
      <w:r w:rsidRPr="00682FD7">
        <w:rPr>
          <w:lang w:val="en-GB"/>
        </w:rPr>
        <w:t>, there were increases in notifications for this species occurring in the warmer months in Australia (November through to February) in the pandemic years, in contrast to the previously observed seasonal trend of late Summer and Autumn (January to May).</w:t>
      </w:r>
      <w:r w:rsidRPr="00682FD7">
        <w:rPr>
          <w:vertAlign w:val="superscript"/>
          <w:lang w:val="en-GB"/>
        </w:rPr>
        <w:t>29</w:t>
      </w:r>
      <w:r w:rsidRPr="00682FD7">
        <w:rPr>
          <w:lang w:val="en-GB"/>
        </w:rPr>
        <w:t xml:space="preserve"> Internationally, there was a reported increase in positive environmental samples of </w:t>
      </w:r>
      <w:r w:rsidRPr="00682FD7">
        <w:rPr>
          <w:i/>
          <w:iCs/>
          <w:lang w:val="en-GB"/>
        </w:rPr>
        <w:t xml:space="preserve">L. pneumophila </w:t>
      </w:r>
      <w:r w:rsidRPr="00682FD7">
        <w:rPr>
          <w:lang w:val="en-GB"/>
        </w:rPr>
        <w:t>detected in stagnant water cooling towers and hospitals following COVID-19 lockdowns.</w:t>
      </w:r>
      <w:r w:rsidRPr="00682FD7">
        <w:rPr>
          <w:vertAlign w:val="superscript"/>
          <w:lang w:val="en-GB"/>
        </w:rPr>
        <w:t>30,31</w:t>
      </w:r>
      <w:r w:rsidRPr="00682FD7">
        <w:rPr>
          <w:lang w:val="en-GB"/>
        </w:rPr>
        <w:t xml:space="preserve"> It is likely that the rise in observed in </w:t>
      </w:r>
      <w:r w:rsidRPr="00682FD7">
        <w:rPr>
          <w:i/>
          <w:iCs/>
          <w:lang w:val="en-GB"/>
        </w:rPr>
        <w:t>L. pneumophila</w:t>
      </w:r>
      <w:r w:rsidRPr="00682FD7">
        <w:rPr>
          <w:lang w:val="en-GB"/>
        </w:rPr>
        <w:t xml:space="preserve"> notifications in Australia reflects this, but this has not been confirmed.</w:t>
      </w:r>
    </w:p>
    <w:p w14:paraId="3E4BDFC5" w14:textId="169AA73D" w:rsidR="00B63015" w:rsidRDefault="00682FD7" w:rsidP="00682FD7">
      <w:pPr>
        <w:pStyle w:val="Heading2"/>
        <w:divId w:val="935526654"/>
        <w:rPr>
          <w:lang w:val="en-GB"/>
        </w:rPr>
      </w:pPr>
      <w:r>
        <w:rPr>
          <w:lang w:val="en-GB"/>
        </w:rPr>
        <w:t>Limitations</w:t>
      </w:r>
    </w:p>
    <w:p w14:paraId="2007A29D" w14:textId="77777777" w:rsidR="00CD76C2" w:rsidRPr="00CD76C2" w:rsidRDefault="00CD76C2" w:rsidP="00CD76C2">
      <w:pPr>
        <w:divId w:val="935526654"/>
        <w:rPr>
          <w:lang w:val="en-GB"/>
        </w:rPr>
      </w:pPr>
      <w:r w:rsidRPr="00CD76C2">
        <w:rPr>
          <w:lang w:val="en-GB"/>
        </w:rPr>
        <w:t>A limitation of this study is that this analysis is based on notification data and likely underestimates the true incidence of infectious diseases in Australia. As notifications are required to meet defined case definitions, which generally require laboratory testing, only cases that prompt medical attention, testing, and follow-through of testing are likely to be notified. This results in under-reporting, which may result in unintended censoring of seasonal patterns. A major limitation of this study is the lack of testing data and medical consultation rates available for the majority of notifiable diseases, reducing the ability to ascertain the true magnitude of observed changes.</w:t>
      </w:r>
    </w:p>
    <w:p w14:paraId="5FF618DB" w14:textId="77777777" w:rsidR="00CD76C2" w:rsidRPr="00CD76C2" w:rsidRDefault="00CD76C2" w:rsidP="00CD76C2">
      <w:pPr>
        <w:divId w:val="935526654"/>
        <w:rPr>
          <w:lang w:val="en-GB"/>
        </w:rPr>
      </w:pPr>
      <w:r w:rsidRPr="00CD76C2">
        <w:rPr>
          <w:lang w:val="en-GB"/>
        </w:rPr>
        <w:t>Additionally, for a range of diseases, there have been changes in case definitions throughout the study period, which may have influenced case numbers, and subsequent notification rates. Furthermore, the epidemiology of communicable diseases in Australia can vary by jurisdiction due to the vast range of climates and environments in Australia. Although it was not conducted as part of our study, an analysis of notification trends at the jurisdictional level accounting for differences in these factors could be explored further.</w:t>
      </w:r>
    </w:p>
    <w:p w14:paraId="7FD46300" w14:textId="77777777" w:rsidR="00B63015" w:rsidRPr="00702D05" w:rsidRDefault="00B63015" w:rsidP="00B63015">
      <w:pPr>
        <w:pStyle w:val="Heading1"/>
        <w:divId w:val="935526654"/>
        <w:rPr>
          <w:lang w:val="en-GB"/>
        </w:rPr>
      </w:pPr>
      <w:r w:rsidRPr="00702D05">
        <w:rPr>
          <w:lang w:val="en-GB"/>
        </w:rPr>
        <w:t>Conclusion</w:t>
      </w:r>
    </w:p>
    <w:p w14:paraId="0919768E" w14:textId="77777777" w:rsidR="00CD76C2" w:rsidRPr="00CD76C2" w:rsidRDefault="00CD76C2" w:rsidP="00CD76C2">
      <w:pPr>
        <w:divId w:val="935526654"/>
        <w:rPr>
          <w:lang w:val="en-GB"/>
        </w:rPr>
      </w:pPr>
      <w:r w:rsidRPr="00CD76C2">
        <w:rPr>
          <w:lang w:val="en-GB"/>
        </w:rPr>
        <w:t>In 2020 and 2021, there was an overall reduction in the majority of Australia’s nationally notifiable diseases, particularly those classified as social or imported diseases. While factors such as decreased testing and changes to health-seeking behaviours have likely contributed to instances of increased or decreased notifications for some diseases, it is clear that the public health impact of the COVID-19 response is far-reaching. The observed changes we have identified impact our current understanding of notifiable diseases in Australia and provide context to the possible anomalies that are likely to be observed with upcoming five-year trends that include 2020 and 2021 data.</w:t>
      </w:r>
    </w:p>
    <w:p w14:paraId="30E5EE31" w14:textId="77777777" w:rsidR="00CD76C2" w:rsidRPr="00CD76C2" w:rsidRDefault="00CD76C2" w:rsidP="00CD76C2">
      <w:pPr>
        <w:divId w:val="935526654"/>
        <w:rPr>
          <w:lang w:val="en-GB"/>
        </w:rPr>
      </w:pPr>
      <w:r w:rsidRPr="00CD76C2">
        <w:rPr>
          <w:lang w:val="en-GB"/>
        </w:rPr>
        <w:t>Further research should be directed at diseases without clear indications of why notifications and rates changed, such as legionellosis, to further understand the disease ecology and epidemiology. The impact of COVID-19 during 2020 and 2021 is a unique opportunity to explore additional factors that impact notifications and the likely incidence of communicable diseases in Australia.</w:t>
      </w:r>
    </w:p>
    <w:p w14:paraId="6607E7CE" w14:textId="77777777" w:rsidR="00B63015" w:rsidRPr="00702D05" w:rsidRDefault="00B63015" w:rsidP="00B63015">
      <w:pPr>
        <w:pStyle w:val="Heading1"/>
        <w:divId w:val="935526654"/>
        <w:rPr>
          <w:lang w:val="en-GB"/>
        </w:rPr>
      </w:pPr>
      <w:r>
        <w:rPr>
          <w:lang w:val="en-GB"/>
        </w:rPr>
        <w:lastRenderedPageBreak/>
        <w:t>Acknowledgments</w:t>
      </w:r>
    </w:p>
    <w:p w14:paraId="60BA8DE6" w14:textId="77777777" w:rsidR="00326596" w:rsidRPr="00326596" w:rsidRDefault="00326596" w:rsidP="00326596">
      <w:pPr>
        <w:divId w:val="935526654"/>
        <w:rPr>
          <w:lang w:val="en-GB"/>
        </w:rPr>
      </w:pPr>
      <w:r w:rsidRPr="00326596">
        <w:rPr>
          <w:lang w:val="en-GB"/>
        </w:rPr>
        <w:t>Anna Rafferty was supported by the Australian National University Master of Philosophy (Applied Epidemiology) Scholarship.</w:t>
      </w:r>
    </w:p>
    <w:p w14:paraId="6FE29FAC" w14:textId="2A20C869" w:rsidR="00326596" w:rsidRPr="00326596" w:rsidRDefault="00326596" w:rsidP="00326596">
      <w:pPr>
        <w:divId w:val="935526654"/>
        <w:rPr>
          <w:lang w:val="en-GB"/>
        </w:rPr>
      </w:pPr>
      <w:r w:rsidRPr="00326596">
        <w:rPr>
          <w:lang w:val="en-GB"/>
        </w:rPr>
        <w:t>National Notifiable Diseases Surveillance System data were provided by the Health</w:t>
      </w:r>
      <w:r w:rsidR="00D82FC9">
        <w:rPr>
          <w:lang w:val="en-GB"/>
        </w:rPr>
        <w:t xml:space="preserve"> Protection Policy and Surveillance Division</w:t>
      </w:r>
      <w:r w:rsidRPr="00326596">
        <w:rPr>
          <w:lang w:val="en-GB"/>
        </w:rPr>
        <w:t>, Department of Health and Aged Care, on behalf of Communicable Diseases Network Australia.</w:t>
      </w:r>
    </w:p>
    <w:p w14:paraId="641471A2" w14:textId="77777777" w:rsidR="00326596" w:rsidRPr="00326596" w:rsidRDefault="00326596" w:rsidP="00326596">
      <w:pPr>
        <w:divId w:val="935526654"/>
        <w:rPr>
          <w:lang w:val="en-GB"/>
        </w:rPr>
      </w:pPr>
      <w:r w:rsidRPr="00326596">
        <w:rPr>
          <w:lang w:val="en-GB"/>
        </w:rPr>
        <w:t>The authors would like to acknowledge Rose Wright, Amy Bright and Stacey Kane for their review of the manuscript and Paul Collins for providing NNDSS data.</w:t>
      </w:r>
    </w:p>
    <w:p w14:paraId="42E40C56" w14:textId="77777777" w:rsidR="00B63015" w:rsidRDefault="00B63015" w:rsidP="00B63015">
      <w:pPr>
        <w:pStyle w:val="Heading1"/>
        <w:divId w:val="935526654"/>
      </w:pPr>
      <w:r>
        <w:t>Author details</w:t>
      </w:r>
    </w:p>
    <w:p w14:paraId="38911C02" w14:textId="77777777" w:rsidR="00326596" w:rsidRDefault="00326596" w:rsidP="00326596">
      <w:pPr>
        <w:divId w:val="935526654"/>
      </w:pPr>
      <w:r>
        <w:t>Anna C Rafferty,</w:t>
      </w:r>
      <w:r w:rsidRPr="00326596">
        <w:rPr>
          <w:vertAlign w:val="superscript"/>
        </w:rPr>
        <w:t>1,2</w:t>
      </w:r>
    </w:p>
    <w:p w14:paraId="31EC39B1" w14:textId="77777777" w:rsidR="00326596" w:rsidRDefault="00326596" w:rsidP="00326596">
      <w:pPr>
        <w:pStyle w:val="Normal-lessspace"/>
        <w:divId w:val="935526654"/>
      </w:pPr>
      <w:r>
        <w:t>Anna Glynn-Robinson,</w:t>
      </w:r>
      <w:r w:rsidRPr="00326596">
        <w:rPr>
          <w:vertAlign w:val="superscript"/>
        </w:rPr>
        <w:t>1</w:t>
      </w:r>
    </w:p>
    <w:p w14:paraId="4E6E0149" w14:textId="77777777" w:rsidR="00326596" w:rsidRDefault="00326596" w:rsidP="00326596">
      <w:pPr>
        <w:pStyle w:val="Normal-lessspace"/>
        <w:divId w:val="935526654"/>
      </w:pPr>
      <w:r>
        <w:t>Dharshi Thangarajah,</w:t>
      </w:r>
      <w:r w:rsidRPr="00326596">
        <w:rPr>
          <w:vertAlign w:val="superscript"/>
        </w:rPr>
        <w:t>2</w:t>
      </w:r>
    </w:p>
    <w:p w14:paraId="6D341A05" w14:textId="77777777" w:rsidR="00326596" w:rsidRDefault="00326596" w:rsidP="00326596">
      <w:pPr>
        <w:pStyle w:val="Normal-lessspace"/>
        <w:divId w:val="935526654"/>
      </w:pPr>
      <w:r>
        <w:t>Ben Polkinghorne</w:t>
      </w:r>
      <w:r w:rsidRPr="00326596">
        <w:rPr>
          <w:vertAlign w:val="superscript"/>
        </w:rPr>
        <w:t>2</w:t>
      </w:r>
    </w:p>
    <w:p w14:paraId="02D71D1E" w14:textId="77777777" w:rsidR="00326596" w:rsidRDefault="00326596" w:rsidP="00326596">
      <w:pPr>
        <w:pStyle w:val="CDINumberedList1L1"/>
        <w:divId w:val="935526654"/>
      </w:pPr>
      <w:r>
        <w:t>National Centre for Epidemiology and Population Health, Australian National University, Acton, ACT, Australia</w:t>
      </w:r>
    </w:p>
    <w:p w14:paraId="1184BF93" w14:textId="360F8384" w:rsidR="00326596" w:rsidRDefault="00326596" w:rsidP="00326596">
      <w:pPr>
        <w:pStyle w:val="CDINumberedList1L1"/>
        <w:divId w:val="935526654"/>
      </w:pPr>
      <w:r>
        <w:t>Health Protection</w:t>
      </w:r>
      <w:r w:rsidR="00D82FC9">
        <w:t xml:space="preserve"> Policy and Surveillance Division</w:t>
      </w:r>
      <w:r>
        <w:t>, Australian Government Department of Health and Aged Care, Australia</w:t>
      </w:r>
    </w:p>
    <w:p w14:paraId="2CB61C4F" w14:textId="77777777" w:rsidR="00326596" w:rsidRPr="00326596" w:rsidRDefault="00326596" w:rsidP="00326596">
      <w:pPr>
        <w:divId w:val="935526654"/>
        <w:rPr>
          <w:rStyle w:val="Bold"/>
        </w:rPr>
      </w:pPr>
      <w:r w:rsidRPr="00326596">
        <w:rPr>
          <w:rStyle w:val="Bold"/>
        </w:rPr>
        <w:t>Corresponding author</w:t>
      </w:r>
    </w:p>
    <w:p w14:paraId="6168CC21" w14:textId="77777777" w:rsidR="00326596" w:rsidRDefault="00326596" w:rsidP="00326596">
      <w:pPr>
        <w:divId w:val="935526654"/>
      </w:pPr>
      <w:r>
        <w:t>Anna C Rafferty</w:t>
      </w:r>
    </w:p>
    <w:p w14:paraId="0C6BE821" w14:textId="77777777" w:rsidR="00326596" w:rsidRDefault="00326596" w:rsidP="00326596">
      <w:pPr>
        <w:pStyle w:val="Normal-lessspace"/>
        <w:divId w:val="935526654"/>
      </w:pPr>
      <w:r>
        <w:t>National Centre for Epidemiology and Population Health, Australian National University, Acton, ACT</w:t>
      </w:r>
    </w:p>
    <w:p w14:paraId="41BA26F1" w14:textId="22B5012C" w:rsidR="00B63015" w:rsidRPr="00B63015" w:rsidRDefault="00326596" w:rsidP="00326596">
      <w:pPr>
        <w:pStyle w:val="Normal-lessspace"/>
        <w:divId w:val="935526654"/>
      </w:pPr>
      <w:r>
        <w:t>Email: Anna.Rafferty@anu.edu.au</w:t>
      </w:r>
    </w:p>
    <w:p w14:paraId="1D74D461" w14:textId="77777777" w:rsidR="00B63015" w:rsidRPr="007A2D74" w:rsidRDefault="00B63015" w:rsidP="00B63015">
      <w:pPr>
        <w:pStyle w:val="Normal-lessspace"/>
        <w:divId w:val="935526654"/>
      </w:pPr>
      <w:r w:rsidRPr="007A2D74">
        <w:br w:type="page"/>
      </w:r>
    </w:p>
    <w:p w14:paraId="26044523" w14:textId="77777777" w:rsidR="00B63015" w:rsidRDefault="00B63015" w:rsidP="00B63015">
      <w:pPr>
        <w:pStyle w:val="Heading1"/>
        <w:divId w:val="935526654"/>
      </w:pPr>
      <w:r>
        <w:lastRenderedPageBreak/>
        <w:t>References</w:t>
      </w:r>
    </w:p>
    <w:p w14:paraId="6547A60A" w14:textId="77777777" w:rsidR="00326596" w:rsidRDefault="00326596" w:rsidP="00326596">
      <w:pPr>
        <w:pStyle w:val="CDINumberedList1L1"/>
        <w:numPr>
          <w:ilvl w:val="0"/>
          <w:numId w:val="33"/>
        </w:numPr>
        <w:divId w:val="935526654"/>
      </w:pPr>
      <w:r>
        <w:t xml:space="preserve">Bright A, Glynn-Robinson AJ, Kane S, Wright R, Saul N. The effect of COVID-19 public health measures on nationally notifiable diseases in Australia: preliminary analysis. </w:t>
      </w:r>
      <w:r w:rsidRPr="00326596">
        <w:rPr>
          <w:i/>
          <w:iCs/>
        </w:rPr>
        <w:t>Commun Dis Intell (2018)</w:t>
      </w:r>
      <w:r>
        <w:t>. 2020;44. doi: https://doi.org/10.33321/cdi.2020.44.85.</w:t>
      </w:r>
    </w:p>
    <w:p w14:paraId="08B9B676" w14:textId="6C61FA70" w:rsidR="00326596" w:rsidRDefault="00326596" w:rsidP="00326596">
      <w:pPr>
        <w:pStyle w:val="CDINumberedList1L1"/>
        <w:divId w:val="935526654"/>
      </w:pPr>
      <w:r>
        <w:t xml:space="preserve">Fischer FB, Mäusezahl D, Wymann MN. Temporal trends in legionellosis national notification data and the effect of COVID-19, Switzerland, 2000–2020. </w:t>
      </w:r>
      <w:r w:rsidRPr="00326596">
        <w:rPr>
          <w:i/>
          <w:iCs/>
        </w:rPr>
        <w:t>Int J Hyg Environ Health</w:t>
      </w:r>
      <w:r>
        <w:t>. 2023; 247:113970. doi: https://doi.org/10.1016/j.ijheh.2022.113970.</w:t>
      </w:r>
    </w:p>
    <w:p w14:paraId="579984C3" w14:textId="52B4AB3B" w:rsidR="00326596" w:rsidRDefault="00326596" w:rsidP="00326596">
      <w:pPr>
        <w:pStyle w:val="CDINumberedList1L1"/>
        <w:divId w:val="935526654"/>
      </w:pPr>
      <w:r>
        <w:t xml:space="preserve">Geng MJ, Zhang HY, Yu LJ, Lv CL, Wang T, Che TL et al. Changes in notifiable infectious disease incidence in China during the COVID-19 pandemic. </w:t>
      </w:r>
      <w:r w:rsidRPr="00326596">
        <w:rPr>
          <w:i/>
          <w:iCs/>
        </w:rPr>
        <w:t>Nat Commun</w:t>
      </w:r>
      <w:r>
        <w:t>. 2021;12(1):6923. doi: https://doi.org/10.1038/s41467-021-27292-7.</w:t>
      </w:r>
    </w:p>
    <w:p w14:paraId="37871A03" w14:textId="11DEF907" w:rsidR="00326596" w:rsidRDefault="00326596" w:rsidP="00326596">
      <w:pPr>
        <w:pStyle w:val="CDINumberedList1L1"/>
        <w:divId w:val="935526654"/>
      </w:pPr>
      <w:r>
        <w:t xml:space="preserve">Huh K, Jung J, Hong J, Kim M, Ahn JG, Kim JH et al. Impact of nonpharmaceutical interventions on the incidence of respiratory infections during the coronavirus disease 2019 (COVID-19) outbreak in Korea: a nationwide surveillance study. </w:t>
      </w:r>
      <w:r w:rsidRPr="00326596">
        <w:rPr>
          <w:i/>
          <w:iCs/>
        </w:rPr>
        <w:t>Clin Infect Dis</w:t>
      </w:r>
      <w:r>
        <w:t>. 2021;72(7):e184–91. doi: https://doi.org/10.1093/cid/ciaa1682.</w:t>
      </w:r>
    </w:p>
    <w:p w14:paraId="54FDB184" w14:textId="77777777" w:rsidR="00326596" w:rsidRDefault="00326596" w:rsidP="00326596">
      <w:pPr>
        <w:pStyle w:val="CDINumberedList1L1"/>
        <w:divId w:val="935526654"/>
      </w:pPr>
      <w:r>
        <w:t xml:space="preserve">Lai CC, Chen SY, Yen MY, Lee PI, Ko WC, Hsueh PR. The impact of the coronavirus disease 2019 epidemic on notifiable infectious diseases in Taiwan: a database analysis. </w:t>
      </w:r>
      <w:r w:rsidRPr="00326596">
        <w:rPr>
          <w:i/>
          <w:iCs/>
        </w:rPr>
        <w:t>Travel Med Infect Dis</w:t>
      </w:r>
      <w:r>
        <w:t>. 2021;40:101997. doi: https://doi.org/10.1016/j.tmaid.2021.101997.</w:t>
      </w:r>
    </w:p>
    <w:p w14:paraId="238FF949" w14:textId="77777777" w:rsidR="00326596" w:rsidRDefault="00326596" w:rsidP="00326596">
      <w:pPr>
        <w:pStyle w:val="CDINumberedList1L1"/>
        <w:divId w:val="935526654"/>
      </w:pPr>
      <w:r>
        <w:t xml:space="preserve">Lai CC, Chen SY, Yen MY, Lee PI, Ko WC, Hsueh PR. The impact of the coronavirus disease 2019 epidemic on notifiable infectious diseases in Taiwan: a database analysis. </w:t>
      </w:r>
      <w:r w:rsidRPr="00326596">
        <w:rPr>
          <w:i/>
          <w:iCs/>
        </w:rPr>
        <w:t>Travel Med Infect Dis</w:t>
      </w:r>
      <w:r>
        <w:t>. 2021;40:101997. doi: https://doi.org/10.1016/j.tmaid.2021.101997.</w:t>
      </w:r>
    </w:p>
    <w:p w14:paraId="655B214F" w14:textId="77777777" w:rsidR="00326596" w:rsidRDefault="00326596" w:rsidP="00326596">
      <w:pPr>
        <w:pStyle w:val="CDINumberedList1L1"/>
        <w:divId w:val="935526654"/>
      </w:pPr>
      <w:r>
        <w:t xml:space="preserve">Ullrich A, Schranz M, Rexroth U, Hamouda O, Schaade L, Diercke M et al. Impact of the COVID-19 pandemic and associated non-pharmaceutical interventions on other notifiable infectious diseases in Germany: an analysis of national surveillance data during week 1-2016 – week 32-2020. </w:t>
      </w:r>
      <w:r w:rsidRPr="00326596">
        <w:rPr>
          <w:i/>
          <w:iCs/>
        </w:rPr>
        <w:t>Lancet Reg Health Eur</w:t>
      </w:r>
      <w:r>
        <w:t>. 2021;6:100103. doi: https://doi.org/10.1016/j.lanepe.2021.100103.</w:t>
      </w:r>
    </w:p>
    <w:p w14:paraId="7419D1F3" w14:textId="77777777" w:rsidR="00326596" w:rsidRDefault="00326596" w:rsidP="00326596">
      <w:pPr>
        <w:pStyle w:val="CDINumberedList1L1"/>
        <w:divId w:val="935526654"/>
      </w:pPr>
      <w:r>
        <w:t>Australian Bureau of Statistics. National, state and territory population: reference period September 2021. [Webpage.] Canberra: Australian Bureau of Statistics; 17 March 2022. Available from: https://www.abs.gov.au/statistics/people/population/national-state-and-territory-population/sep-2021.</w:t>
      </w:r>
    </w:p>
    <w:p w14:paraId="1D9859F4" w14:textId="77777777" w:rsidR="00326596" w:rsidRDefault="00326596" w:rsidP="00326596">
      <w:pPr>
        <w:pStyle w:val="CDINumberedList1L1"/>
        <w:divId w:val="935526654"/>
      </w:pPr>
      <w:r>
        <w:t>StataCorp LLC. STATA statistical software: release 17. [Software.] College Station: StataCorp LLC; 2021. Available from: https://www.stata.com/company/.</w:t>
      </w:r>
    </w:p>
    <w:p w14:paraId="78BFB716" w14:textId="77777777" w:rsidR="00326596" w:rsidRDefault="00326596" w:rsidP="00326596">
      <w:pPr>
        <w:pStyle w:val="CDINumberedList1L1"/>
        <w:divId w:val="935526654"/>
      </w:pPr>
      <w:r>
        <w:t xml:space="preserve">Australian Government Department of Health and Aged Care. </w:t>
      </w:r>
      <w:r w:rsidRPr="00326596">
        <w:rPr>
          <w:i/>
          <w:iCs/>
        </w:rPr>
        <w:t>Legionella and legionellosis SoNG Factsheet</w:t>
      </w:r>
      <w:r>
        <w:t>. Canberra: Australian Government Department of Health and Aged Care, Communicable Diseases Network Australia; 2017. Available from: https://www.health.gov.au/sites/default/files/documents/2020/02/legionellosis-cdna-national-guidelines-for-public-health-units-legionella-and-legionellosis-cdna-fact-sheet.pdf.</w:t>
      </w:r>
    </w:p>
    <w:p w14:paraId="6DDFB1D6" w14:textId="77777777" w:rsidR="00326596" w:rsidRDefault="00326596" w:rsidP="00326596">
      <w:pPr>
        <w:pStyle w:val="CDINumberedList1L1"/>
        <w:divId w:val="935526654"/>
      </w:pPr>
      <w:r>
        <w:lastRenderedPageBreak/>
        <w:t xml:space="preserve">Olsen SJ, Winn AK, Budd AP, Prill MM, Steel J, Midgley CM et al. Changes in influenza and other respiratory virus activity during the COVID-19 pandemic – United States, 2020–2021. </w:t>
      </w:r>
      <w:r w:rsidRPr="00326596">
        <w:rPr>
          <w:i/>
          <w:iCs/>
        </w:rPr>
        <w:t>MMWR Morb Mortal Wkly Rep</w:t>
      </w:r>
      <w:r>
        <w:t>. 2021;70(29):1013–9. doi: https://doi.org/10.15585/mmwr.mm7029a1.</w:t>
      </w:r>
    </w:p>
    <w:p w14:paraId="39B65FD8" w14:textId="77777777" w:rsidR="00326596" w:rsidRDefault="00326596" w:rsidP="00326596">
      <w:pPr>
        <w:pStyle w:val="CDINumberedList1L1"/>
        <w:divId w:val="935526654"/>
      </w:pPr>
      <w:r>
        <w:t xml:space="preserve">Ferraro CF, Findlater L, Morbey R, Hughes HE, Harcourt S, Hughes TC et al. Describing the indirect impact of COVID-19 on healthcare utilisation using syndromic surveillance systems. </w:t>
      </w:r>
      <w:r w:rsidRPr="00326596">
        <w:rPr>
          <w:i/>
          <w:iCs/>
        </w:rPr>
        <w:t>BMC Public Health</w:t>
      </w:r>
      <w:r>
        <w:t>. 2021;21(1):2019. doi: https://doi.org/10.1186/s12889-021-12117-5.</w:t>
      </w:r>
    </w:p>
    <w:p w14:paraId="2487BA1C" w14:textId="77777777" w:rsidR="00326596" w:rsidRDefault="00326596" w:rsidP="00326596">
      <w:pPr>
        <w:pStyle w:val="CDINumberedList1L1"/>
        <w:divId w:val="935526654"/>
      </w:pPr>
      <w:r>
        <w:t xml:space="preserve">WHO Collaborating Centre for Viral Hepatitis (WHO CC Viral Hepatitis). </w:t>
      </w:r>
      <w:r w:rsidRPr="00326596">
        <w:rPr>
          <w:i/>
          <w:iCs/>
        </w:rPr>
        <w:t>Impacts of COVID-19 on BBVSTI testing, care and treatment: Medicare data analysis</w:t>
      </w:r>
      <w:r>
        <w:t>. Melbourne: WHO CC Viral Hepatitis, The Peter Doherty Institute for Infection and Immunity; March 2021. Available from: https://www.doherty.edu.au/uploads/content_doc/COVID-19_impacts_-_BBVSTI_treatment_and_care_(data_to_January2021)_FINAL.pdf.</w:t>
      </w:r>
    </w:p>
    <w:p w14:paraId="05FB9972" w14:textId="77777777" w:rsidR="00326596" w:rsidRDefault="00326596" w:rsidP="00326596">
      <w:pPr>
        <w:pStyle w:val="CDINumberedList1L1"/>
        <w:divId w:val="935526654"/>
      </w:pPr>
      <w:r>
        <w:t>Australian Bureau of Statistics. Impact of lockdowns on household consumption - insights from alternative data sources. [Webpage.] Canberra: Australian Bureau of Statistics; 1 December 2021. Available from: https://www.abs.gov.au/articles/impact-lockdowns-household-consumption-insights-alternative-data-sources.</w:t>
      </w:r>
    </w:p>
    <w:p w14:paraId="203A52A7" w14:textId="77777777" w:rsidR="00326596" w:rsidRDefault="00326596" w:rsidP="00326596">
      <w:pPr>
        <w:pStyle w:val="CDINumberedList1L1"/>
        <w:divId w:val="935526654"/>
      </w:pPr>
      <w:r>
        <w:t xml:space="preserve">Heymann DL, ed. </w:t>
      </w:r>
      <w:r w:rsidRPr="00326596">
        <w:rPr>
          <w:i/>
          <w:iCs/>
        </w:rPr>
        <w:t>Control of Communicable Diseases Manual: an official report of the American Public Health Association</w:t>
      </w:r>
      <w:r>
        <w:t>. 20th ed. Fort Worth: APHA Press, 2015.</w:t>
      </w:r>
    </w:p>
    <w:p w14:paraId="788198E5" w14:textId="77777777" w:rsidR="00326596" w:rsidRDefault="00326596" w:rsidP="00326596">
      <w:pPr>
        <w:pStyle w:val="CDINumberedList1L1"/>
        <w:divId w:val="935526654"/>
      </w:pPr>
      <w:r>
        <w:t xml:space="preserve">Yapa CM, Furlong C, Rosewell A, Ward KA, Adamson S, Shadbolt C et al. First reported outbreak of locally acquired hepatitis E virus infection in Australia. </w:t>
      </w:r>
      <w:r w:rsidRPr="00326596">
        <w:rPr>
          <w:i/>
          <w:iCs/>
        </w:rPr>
        <w:t>Med J Aust</w:t>
      </w:r>
      <w:r>
        <w:t>. 2016;204(7):274. doi: https://doi.org/10.5694/mja15.00955.</w:t>
      </w:r>
    </w:p>
    <w:p w14:paraId="1ED38D4B" w14:textId="77777777" w:rsidR="00326596" w:rsidRDefault="00326596" w:rsidP="00326596">
      <w:pPr>
        <w:pStyle w:val="CDINumberedList1L1"/>
        <w:divId w:val="935526654"/>
      </w:pPr>
      <w:r>
        <w:t xml:space="preserve">Love NK, Elliot AJ, Chalmers RM, Douglas A, Gharbia S, McCormick J et al. Impact of the COVID-19 pandemic on gastrointestinal infection trends in England, February–July 2020. </w:t>
      </w:r>
      <w:r w:rsidRPr="00326596">
        <w:rPr>
          <w:i/>
          <w:iCs/>
        </w:rPr>
        <w:t>BMJ Open</w:t>
      </w:r>
      <w:r>
        <w:t>. 2022;12(3):e050469. doi: https://doi.org/10.1136/bmjopen-2021-050469.</w:t>
      </w:r>
    </w:p>
    <w:p w14:paraId="34E032B7" w14:textId="2AA732E9" w:rsidR="00326596" w:rsidRDefault="00326596" w:rsidP="00326596">
      <w:pPr>
        <w:pStyle w:val="CDINumberedList1L1"/>
        <w:divId w:val="935526654"/>
      </w:pPr>
      <w:r>
        <w:t xml:space="preserve">Nicolay N, Mirinaviciute G, Mollet T, Celentano LP, Bacci S. Epidemiology of measles during the COVID-19 pandemic, a description of the surveillance data, 29 EU/EEA countries and the United Kingdom, January to May 2020. </w:t>
      </w:r>
      <w:r w:rsidRPr="00326596">
        <w:rPr>
          <w:i/>
          <w:iCs/>
        </w:rPr>
        <w:t>Euro Surveill</w:t>
      </w:r>
      <w:r>
        <w:t xml:space="preserve">. 2020;25(31):2001390. </w:t>
      </w:r>
      <w:r>
        <w:br/>
        <w:t>doi: https://doi.org/10.2807/1560-7917.ES.2020.25.31.2001390.</w:t>
      </w:r>
    </w:p>
    <w:p w14:paraId="1806605D" w14:textId="77777777" w:rsidR="00326596" w:rsidRDefault="00326596" w:rsidP="00326596">
      <w:pPr>
        <w:pStyle w:val="CDINumberedList1L1"/>
        <w:divId w:val="935526654"/>
      </w:pPr>
      <w:r>
        <w:t xml:space="preserve">Liyanage P, Rocklöv J, Tissera HA. The impact of COVID-19 lockdown on dengue transmission in Sri Lanka; a natural experiment for understanding the influence of human mobility. </w:t>
      </w:r>
      <w:r w:rsidRPr="00326596">
        <w:rPr>
          <w:i/>
          <w:iCs/>
        </w:rPr>
        <w:t>PLOS Negl Trop Dis</w:t>
      </w:r>
      <w:r>
        <w:t>. 2021;15(6):e0009420. doi: https://doi.org/10.1371/journal.pntd.0009420.</w:t>
      </w:r>
    </w:p>
    <w:p w14:paraId="47AB8702" w14:textId="77777777" w:rsidR="00326596" w:rsidRDefault="00326596" w:rsidP="00326596">
      <w:pPr>
        <w:pStyle w:val="CDINumberedList1L1"/>
        <w:divId w:val="935526654"/>
      </w:pPr>
      <w:r>
        <w:t xml:space="preserve">Cox-Witton K, Grillo T, Ban S. Wildlife Health Australia. </w:t>
      </w:r>
      <w:r w:rsidRPr="00326596">
        <w:rPr>
          <w:i/>
          <w:iCs/>
        </w:rPr>
        <w:t>Anim Health Surveill Q</w:t>
      </w:r>
      <w:r>
        <w:t>. 2020;25(2):10–5. Available from: https://www.sciquest.org.nz/browse/publications/article/165245.</w:t>
      </w:r>
    </w:p>
    <w:p w14:paraId="1A672C8C" w14:textId="77777777" w:rsidR="00326596" w:rsidRDefault="00326596" w:rsidP="00326596">
      <w:pPr>
        <w:pStyle w:val="CDINumberedList1L1"/>
        <w:divId w:val="935526654"/>
      </w:pPr>
      <w:r>
        <w:t>Victoria State Government Department of Health. Health warning on increase in psittacosis in Victorian Alpine region. [Internet.] Melbourne: Victoria State Government Department of Health; 16 December 2020. Available from: https://www.health.vic.gov.au/health-advisories/health-warning-on-increase-in-psittacosis-in-victorian-alpine-region.</w:t>
      </w:r>
    </w:p>
    <w:p w14:paraId="0324C204" w14:textId="4C660C5E" w:rsidR="00326596" w:rsidRDefault="00326596" w:rsidP="00326596">
      <w:pPr>
        <w:pStyle w:val="CDINumberedList1L1"/>
        <w:divId w:val="935526654"/>
      </w:pPr>
      <w:r>
        <w:lastRenderedPageBreak/>
        <w:t>New South Wales Government Department of Health (NSW Health), Nepean Blue Mountains Local Health District. ‘Parrot Fever’ alert in Blue Mountains and Lithgow. [Internet.] Sydney: NSW Health; 7 May 2020. Available from: https://www.nbmlhd.health.nsw.gov.au/nbmlhd-news/from-the-expert/parrot-fever-alert-in-blue-mountains-and-lithgow.</w:t>
      </w:r>
    </w:p>
    <w:p w14:paraId="3433CE0C" w14:textId="77777777" w:rsidR="00326596" w:rsidRDefault="00326596" w:rsidP="00326596">
      <w:pPr>
        <w:pStyle w:val="CDINumberedList1L1"/>
        <w:divId w:val="935526654"/>
      </w:pPr>
      <w:r>
        <w:t xml:space="preserve">Smith JKG, Young MM, Wilson KL, Craig SB. Leptospirosis following a major flood in Central Queensland, Australia. </w:t>
      </w:r>
      <w:r w:rsidRPr="00326596">
        <w:rPr>
          <w:i/>
          <w:iCs/>
        </w:rPr>
        <w:t>Epidemiol Infect</w:t>
      </w:r>
      <w:r>
        <w:t>. 2013;141(3):585–90. doi: https://doi.org/10.1017/S0950268812001021.</w:t>
      </w:r>
    </w:p>
    <w:p w14:paraId="42747DD9" w14:textId="77777777" w:rsidR="00326596" w:rsidRDefault="00326596" w:rsidP="00326596">
      <w:pPr>
        <w:pStyle w:val="CDINumberedList1L1"/>
        <w:divId w:val="935526654"/>
      </w:pPr>
      <w:r>
        <w:t xml:space="preserve">Commonwealth Scientific and Industrial Research Organisation (CSIRO). </w:t>
      </w:r>
      <w:r w:rsidRPr="00326596">
        <w:rPr>
          <w:i/>
          <w:iCs/>
        </w:rPr>
        <w:t>Monitoring mice in Australia – August 2021</w:t>
      </w:r>
      <w:r>
        <w:t>. Canberra: CSIRO; August 2021. Available from: https://research.csiro.au/rm/wp-content/uploads/sites/422/2021/12/Mouse-Monitoring-project-Update-25-Aug-2021.pdf.</w:t>
      </w:r>
    </w:p>
    <w:p w14:paraId="0A0CD65C" w14:textId="3A5FBB5C" w:rsidR="00326596" w:rsidRDefault="00326596" w:rsidP="00326596">
      <w:pPr>
        <w:pStyle w:val="CDINumberedList1L1"/>
        <w:divId w:val="935526654"/>
      </w:pPr>
      <w:r>
        <w:t xml:space="preserve">Egerer M, Lin B, Kingsley J, Marsh P, Diekmann L, Ossola A. Gardening can relieve human stress and boost nature connection during the COVID-19 pandemic. </w:t>
      </w:r>
      <w:r w:rsidRPr="00326596">
        <w:rPr>
          <w:i/>
          <w:iCs/>
        </w:rPr>
        <w:t>Urban For Urban Green</w:t>
      </w:r>
      <w:r>
        <w:t>. 2022;68:127483. doi: https://doi.org/10.1016/j.ufug.2022.127483.</w:t>
      </w:r>
    </w:p>
    <w:p w14:paraId="298849CF" w14:textId="77777777" w:rsidR="00326596" w:rsidRDefault="00326596" w:rsidP="00326596">
      <w:pPr>
        <w:pStyle w:val="CDINumberedList1L1"/>
        <w:divId w:val="935526654"/>
      </w:pPr>
      <w:r>
        <w:t>Carter JS. Australians bought more plants than ever in 2020 with COVID-19 lockdowns fuelling sales. [Online.] Canberra: Australian Broadcasting Corporation, ABC News; 31 March 2021. Available from: https://www.abc.net.au/news/rural/2021-03-31/australians-bought-more-plants-than-ever-in-2020/100040258.</w:t>
      </w:r>
    </w:p>
    <w:p w14:paraId="6C84617D" w14:textId="77777777" w:rsidR="00326596" w:rsidRDefault="00326596" w:rsidP="00326596">
      <w:pPr>
        <w:pStyle w:val="CDINumberedList1L1"/>
        <w:divId w:val="935526654"/>
      </w:pPr>
      <w:r>
        <w:t xml:space="preserve">NSW Health, Hunter New England Local Health District. </w:t>
      </w:r>
      <w:r w:rsidRPr="00326596">
        <w:rPr>
          <w:i/>
          <w:iCs/>
        </w:rPr>
        <w:t xml:space="preserve">Legionnaires’ cases prompt gardening </w:t>
      </w:r>
      <w:r w:rsidRPr="00326596">
        <w:t>warning</w:t>
      </w:r>
      <w:r>
        <w:t>. [Media release.] Sydney: NSW Health; 2 June 2020. Available from: https://www.hnehealth.nsw.gov.au/__data/assets/pdf_file/0019/421507/MR_020620.pdf.</w:t>
      </w:r>
    </w:p>
    <w:p w14:paraId="2D9CE9B4" w14:textId="77777777" w:rsidR="00326596" w:rsidRDefault="00326596" w:rsidP="00326596">
      <w:pPr>
        <w:pStyle w:val="CDINumberedList1L1"/>
        <w:divId w:val="935526654"/>
      </w:pPr>
      <w:r>
        <w:t xml:space="preserve">Cassell K, Davis JL, Berkelman R. Legionnaires’ disease in the time of COVID-19. </w:t>
      </w:r>
      <w:r w:rsidRPr="00326596">
        <w:rPr>
          <w:i/>
          <w:iCs/>
        </w:rPr>
        <w:t>Pneumonia (Nathan)</w:t>
      </w:r>
      <w:r>
        <w:t>. 2021;13(1):2. doi: https://doi.org/10.1186/s41479-020-00080-5.</w:t>
      </w:r>
    </w:p>
    <w:p w14:paraId="77BE6A71" w14:textId="492494AA" w:rsidR="00326596" w:rsidRDefault="00326596" w:rsidP="00326596">
      <w:pPr>
        <w:pStyle w:val="CDINumberedList1L1"/>
        <w:divId w:val="935526654"/>
      </w:pPr>
      <w:r>
        <w:t xml:space="preserve">NNDSS Annual Report Working Group. Australia’s notifiable disease status, 2016: annual report of the National Notifiable Diseases Surveillance System. </w:t>
      </w:r>
      <w:r w:rsidRPr="00326596">
        <w:rPr>
          <w:i/>
          <w:iCs/>
        </w:rPr>
        <w:t>Commun Dis Intell (2018)</w:t>
      </w:r>
      <w:r>
        <w:t>. 2021;45. doi:</w:t>
      </w:r>
      <w:r w:rsidR="00AB79BD">
        <w:t> </w:t>
      </w:r>
      <w:r>
        <w:t>https://doi.org/10.33321/cdi.2021.45.28.</w:t>
      </w:r>
    </w:p>
    <w:p w14:paraId="603CB324" w14:textId="17E9FD0E" w:rsidR="00326596" w:rsidRDefault="00326596" w:rsidP="00326596">
      <w:pPr>
        <w:pStyle w:val="CDINumberedList1L1"/>
        <w:divId w:val="935526654"/>
      </w:pPr>
      <w:r>
        <w:t xml:space="preserve">De Giglio O, Diella G, Lopuzzo M, Triggiano F, Calia C, Pousis C et al. Impact of lockdown on the microbiological status of the hospital water network during COVID-19 pandemic. </w:t>
      </w:r>
      <w:r w:rsidRPr="00326596">
        <w:rPr>
          <w:i/>
          <w:iCs/>
        </w:rPr>
        <w:t>Environ Res</w:t>
      </w:r>
      <w:r>
        <w:t xml:space="preserve">. 2020;191:110231. doi: </w:t>
      </w:r>
      <w:r w:rsidRPr="00326596">
        <w:t>https://doi.org/10.1016/j.envres.2020.110231</w:t>
      </w:r>
      <w:r>
        <w:t>.</w:t>
      </w:r>
    </w:p>
    <w:p w14:paraId="05654F07" w14:textId="01335338" w:rsidR="00620509" w:rsidRPr="00620509" w:rsidRDefault="00326596" w:rsidP="00326596">
      <w:pPr>
        <w:pStyle w:val="CDINumberedList1L1"/>
        <w:divId w:val="935526654"/>
      </w:pPr>
      <w:r>
        <w:t xml:space="preserve">Liang J, </w:t>
      </w:r>
      <w:r w:rsidRPr="00326596">
        <w:t>Swanson</w:t>
      </w:r>
      <w:r>
        <w:t xml:space="preserve"> CS, Wang L, He Q. Impact of building closures during the COVID-19 pandemic on </w:t>
      </w:r>
      <w:r w:rsidRPr="00326596">
        <w:rPr>
          <w:i/>
          <w:iCs/>
        </w:rPr>
        <w:t>Legionella</w:t>
      </w:r>
      <w:r>
        <w:t xml:space="preserve"> infection risks. </w:t>
      </w:r>
      <w:r w:rsidRPr="00326596">
        <w:rPr>
          <w:i/>
          <w:iCs/>
        </w:rPr>
        <w:t>Am J Infect Control</w:t>
      </w:r>
      <w:r>
        <w:t>. 2021;49(12):1564–6. doi:</w:t>
      </w:r>
      <w:r w:rsidR="00AB79BD">
        <w:t> </w:t>
      </w:r>
      <w:r>
        <w:t>https://doi.org/10.1016/j.ajic.2021.09.008.</w:t>
      </w:r>
    </w:p>
    <w:p w14:paraId="1A956A41" w14:textId="77777777" w:rsidR="001A26DD" w:rsidRDefault="001A26DD" w:rsidP="0037146D">
      <w:pPr>
        <w:divId w:val="935526654"/>
        <w:sectPr w:rsidR="001A26DD" w:rsidSect="00C34F96">
          <w:footerReference w:type="default" r:id="rId26"/>
          <w:pgSz w:w="11907" w:h="16840" w:code="9"/>
          <w:pgMar w:top="1304" w:right="1134" w:bottom="1304" w:left="1134" w:header="709" w:footer="527" w:gutter="0"/>
          <w:cols w:space="708"/>
          <w:docGrid w:linePitch="360"/>
        </w:sectPr>
      </w:pPr>
    </w:p>
    <w:p w14:paraId="3275928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3839245"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98F4E9C" w14:textId="77777777" w:rsidR="000705FF" w:rsidRPr="0089025E" w:rsidRDefault="000705FF" w:rsidP="00194A12">
      <w:pPr>
        <w:pStyle w:val="CDICopyrightText"/>
      </w:pPr>
      <w:r w:rsidRPr="0089025E">
        <w:t xml:space="preserve">© </w:t>
      </w:r>
      <w:r w:rsidR="00CE67A0">
        <w:fldChar w:fldCharType="begin"/>
      </w:r>
      <w:r w:rsidR="00CE67A0">
        <w:instrText xml:space="preserve"> DOCPROPERTY  Year  \* MERGEFORMAT </w:instrText>
      </w:r>
      <w:r w:rsidR="00CE67A0">
        <w:fldChar w:fldCharType="separate"/>
      </w:r>
      <w:r w:rsidR="00FB3BEF">
        <w:t>2024</w:t>
      </w:r>
      <w:r w:rsidR="00CE67A0">
        <w:fldChar w:fldCharType="end"/>
      </w:r>
      <w:r w:rsidRPr="0089025E">
        <w:t xml:space="preserve"> Commonwealth of Australia as represented by the Department of Health and Aged Care</w:t>
      </w:r>
    </w:p>
    <w:p w14:paraId="19C7A5F1" w14:textId="77777777" w:rsidR="00DE4482" w:rsidRPr="0089025E" w:rsidRDefault="00DE4482" w:rsidP="00194A12">
      <w:pPr>
        <w:pStyle w:val="CDICopyrightText"/>
      </w:pPr>
      <w:r w:rsidRPr="0089025E">
        <w:t>ISSN: 2209-6051 Online</w:t>
      </w:r>
    </w:p>
    <w:p w14:paraId="1B35DE47" w14:textId="77777777" w:rsidR="00DE4482" w:rsidRPr="0089025E" w:rsidRDefault="00DE4482" w:rsidP="00194A12">
      <w:pPr>
        <w:pStyle w:val="CDICopyrightText"/>
      </w:pPr>
      <w:r w:rsidRPr="0089025E">
        <w:t>This journal is indexed by Index Medicus and Medline.</w:t>
      </w:r>
    </w:p>
    <w:p w14:paraId="7C9D077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F340027" w14:textId="77777777" w:rsidR="000705FF" w:rsidRPr="00194A12" w:rsidRDefault="000705FF" w:rsidP="00194A12">
      <w:pPr>
        <w:pStyle w:val="CDICopyrightHeading"/>
      </w:pPr>
      <w:r w:rsidRPr="00194A12">
        <w:t>Restrictions</w:t>
      </w:r>
    </w:p>
    <w:p w14:paraId="78F69A54"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78B714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B851525" w14:textId="77777777" w:rsidR="000705FF" w:rsidRPr="0089025E" w:rsidRDefault="000705FF" w:rsidP="00AC0F5D">
      <w:pPr>
        <w:pStyle w:val="CDICopyrightBullets"/>
      </w:pPr>
      <w:r w:rsidRPr="0089025E">
        <w:t>any logos (including the Department of Health and Aged Care’s logo) and trademarks;</w:t>
      </w:r>
    </w:p>
    <w:p w14:paraId="2B89054F" w14:textId="77777777" w:rsidR="000705FF" w:rsidRPr="0089025E" w:rsidRDefault="000705FF" w:rsidP="00AC0F5D">
      <w:pPr>
        <w:pStyle w:val="CDICopyrightBullets"/>
      </w:pPr>
      <w:r w:rsidRPr="0089025E">
        <w:t xml:space="preserve">any photographs and images; </w:t>
      </w:r>
    </w:p>
    <w:p w14:paraId="429D6B82" w14:textId="77777777" w:rsidR="000705FF" w:rsidRPr="0089025E" w:rsidRDefault="000705FF" w:rsidP="00AC0F5D">
      <w:pPr>
        <w:pStyle w:val="CDICopyrightBullets"/>
      </w:pPr>
      <w:r w:rsidRPr="0089025E">
        <w:t>any signatures; and</w:t>
      </w:r>
    </w:p>
    <w:p w14:paraId="2C3242D4" w14:textId="77777777" w:rsidR="000705FF" w:rsidRPr="0089025E" w:rsidRDefault="000705FF" w:rsidP="00AC0F5D">
      <w:pPr>
        <w:pStyle w:val="CDICopyrightBullets"/>
      </w:pPr>
      <w:r w:rsidRPr="0089025E">
        <w:t xml:space="preserve">any material belonging to third parties. </w:t>
      </w:r>
    </w:p>
    <w:p w14:paraId="1F3A885F" w14:textId="77777777" w:rsidR="000F223B" w:rsidRPr="0089025E" w:rsidRDefault="000705FF" w:rsidP="00194A12">
      <w:pPr>
        <w:pStyle w:val="CDICopyrightHeading"/>
      </w:pPr>
      <w:r w:rsidRPr="0089025E">
        <w:t>Disclaimer</w:t>
      </w:r>
    </w:p>
    <w:p w14:paraId="238E77A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2B923FE1" w14:textId="77777777" w:rsidR="000F223B" w:rsidRPr="0089025E" w:rsidRDefault="000705FF" w:rsidP="00194A12">
      <w:pPr>
        <w:pStyle w:val="CDICopyrightHeading"/>
      </w:pPr>
      <w:r w:rsidRPr="0089025E">
        <w:t>Enquiries</w:t>
      </w:r>
    </w:p>
    <w:p w14:paraId="24A96345"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7" w:history="1">
        <w:r w:rsidR="006307C1" w:rsidRPr="005A4A08">
          <w:rPr>
            <w:rStyle w:val="Hyperlink"/>
          </w:rPr>
          <w:t>cdi.editor@health.gov.au</w:t>
        </w:r>
      </w:hyperlink>
      <w:r w:rsidR="006307C1">
        <w:t xml:space="preserve"> </w:t>
      </w:r>
      <w:r w:rsidRPr="0089025E">
        <w:t xml:space="preserve"> </w:t>
      </w:r>
    </w:p>
    <w:p w14:paraId="11522151" w14:textId="77777777" w:rsidR="000F223B" w:rsidRPr="0089025E" w:rsidRDefault="000705FF" w:rsidP="00194A12">
      <w:pPr>
        <w:pStyle w:val="CDICopyrightHeading"/>
      </w:pPr>
      <w:r w:rsidRPr="0089025E">
        <w:t>Communicable Diseases Network Australia</w:t>
      </w:r>
    </w:p>
    <w:p w14:paraId="16D4CC56"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CAFC3A6" w14:textId="381EE76A"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DC710C">
        <w:t>/Kasra Yousefi</w:t>
      </w:r>
    </w:p>
    <w:p w14:paraId="7DF1B149"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3C2B32A2" w14:textId="77777777" w:rsidR="00DE4482" w:rsidRPr="0089025E" w:rsidRDefault="000A5F42" w:rsidP="00194A12">
      <w:pPr>
        <w:pStyle w:val="CDICopyrightHeading"/>
      </w:pPr>
      <w:r w:rsidRPr="0089025E">
        <w:t>Contacts</w:t>
      </w:r>
    </w:p>
    <w:p w14:paraId="60424718" w14:textId="77777777" w:rsidR="00682E53" w:rsidRDefault="00E54BBD" w:rsidP="00194A12">
      <w:pPr>
        <w:pStyle w:val="CDICopyrightText"/>
      </w:pPr>
      <w:r w:rsidRPr="0089025E">
        <w:t>CDI is produced by</w:t>
      </w:r>
      <w:r w:rsidR="00682E53">
        <w:t>:</w:t>
      </w:r>
    </w:p>
    <w:p w14:paraId="69AE402E"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5CE10418" w14:textId="77777777" w:rsidR="00DA2E9E" w:rsidRPr="0089025E" w:rsidRDefault="00DA2E9E" w:rsidP="00194A12">
      <w:pPr>
        <w:pStyle w:val="CDICopyrightText"/>
      </w:pPr>
      <w:r w:rsidRPr="0089025E">
        <w:t xml:space="preserve">Website: </w:t>
      </w:r>
      <w:hyperlink r:id="rId28" w:history="1">
        <w:r w:rsidR="00AC0F5D" w:rsidRPr="000C6EB5">
          <w:rPr>
            <w:rStyle w:val="Hyperlink"/>
          </w:rPr>
          <w:t>www.health.gov.au/cdi</w:t>
        </w:r>
      </w:hyperlink>
      <w:r w:rsidR="00AC0F5D">
        <w:t xml:space="preserve"> </w:t>
      </w:r>
    </w:p>
    <w:p w14:paraId="3F66EF53" w14:textId="77777777" w:rsidR="000A5F42" w:rsidRPr="0089025E" w:rsidRDefault="000A5F42" w:rsidP="00194A12">
      <w:pPr>
        <w:pStyle w:val="CDICopyrightText"/>
      </w:pPr>
      <w:r w:rsidRPr="0089025E">
        <w:t xml:space="preserve">Email: </w:t>
      </w:r>
      <w:hyperlink r:id="rId29" w:history="1">
        <w:r w:rsidR="00AC0F5D" w:rsidRPr="000C6EB5">
          <w:rPr>
            <w:rStyle w:val="Hyperlink"/>
          </w:rPr>
          <w:t>cdi.editor@health.gov.au</w:t>
        </w:r>
      </w:hyperlink>
      <w:r w:rsidR="00AC0F5D">
        <w:t xml:space="preserve"> </w:t>
      </w:r>
    </w:p>
    <w:p w14:paraId="6AF81E7D" w14:textId="77777777" w:rsidR="00DE4482" w:rsidRPr="0089025E" w:rsidRDefault="000A5F42" w:rsidP="00194A12">
      <w:pPr>
        <w:pStyle w:val="CDICopyrightHeading"/>
      </w:pPr>
      <w:r w:rsidRPr="0089025E">
        <w:t>Submit an Article</w:t>
      </w:r>
    </w:p>
    <w:p w14:paraId="4BB68B5C"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350D1C45" w14:textId="77777777" w:rsidR="000A5F42" w:rsidRPr="0089025E" w:rsidRDefault="000A5F42" w:rsidP="00194A12">
      <w:pPr>
        <w:pStyle w:val="CDICopyrightText"/>
      </w:pPr>
      <w:r w:rsidRPr="0089025E">
        <w:t xml:space="preserve">Further enquiries should be directed to: </w:t>
      </w:r>
      <w:hyperlink r:id="rId30" w:history="1">
        <w:r w:rsidR="00AC0F5D" w:rsidRPr="000C6EB5">
          <w:rPr>
            <w:rStyle w:val="Hyperlink"/>
          </w:rPr>
          <w:t>cdi.editor@health.gov.au</w:t>
        </w:r>
      </w:hyperlink>
      <w:r w:rsidR="00AC0F5D">
        <w:t xml:space="preserve"> </w:t>
      </w:r>
    </w:p>
    <w:sectPr w:rsidR="000A5F42" w:rsidRPr="0089025E" w:rsidSect="001A26DD">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09F2" w14:textId="77777777" w:rsidR="00FB3BEF" w:rsidRDefault="00FB3BEF" w:rsidP="00E54DBA">
      <w:r>
        <w:separator/>
      </w:r>
    </w:p>
    <w:p w14:paraId="4CC558F0" w14:textId="77777777" w:rsidR="00FB3BEF" w:rsidRDefault="00FB3BEF"/>
    <w:p w14:paraId="49F1C8BA" w14:textId="77777777" w:rsidR="00FB3BEF" w:rsidRDefault="00FB3BEF" w:rsidP="008714B0"/>
  </w:endnote>
  <w:endnote w:type="continuationSeparator" w:id="0">
    <w:p w14:paraId="4C34E6CF" w14:textId="77777777" w:rsidR="00FB3BEF" w:rsidRDefault="00FB3BEF" w:rsidP="00E54DBA">
      <w:r>
        <w:continuationSeparator/>
      </w:r>
    </w:p>
    <w:p w14:paraId="24875FEE" w14:textId="77777777" w:rsidR="00FB3BEF" w:rsidRDefault="00FB3BEF"/>
    <w:p w14:paraId="7877E0EF" w14:textId="77777777" w:rsidR="00FB3BEF" w:rsidRDefault="00FB3BE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621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3A9D" w14:textId="7A6BEBC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B3BEF">
        <w:t>2024</w:t>
      </w:r>
    </w:fldSimple>
    <w:r w:rsidRPr="001D0612">
      <w:t xml:space="preserve"> </w:t>
    </w:r>
    <w:fldSimple w:instr=" DOCPROPERTY  Vol  \* MERGEFORMAT ">
      <w:r w:rsidR="00FB3BEF">
        <w:t>48</w:t>
      </w:r>
    </w:fldSimple>
    <w:r w:rsidRPr="001D0612">
      <w:t xml:space="preserve">  (</w:t>
    </w:r>
    <w:fldSimple w:instr=" DOCPROPERTY  DOI  \* MERGEFORMAT ">
      <w:r w:rsidR="00B63015">
        <w:t>https://doi.org/10.33321/cdi.2024.48.26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B63015">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5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6773" w14:textId="77777777" w:rsidR="00C34F96" w:rsidRPr="00912A31" w:rsidRDefault="00C34F96" w:rsidP="00C34F96">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t>2024</w:t>
      </w:r>
    </w:fldSimple>
    <w:r w:rsidRPr="001D0612">
      <w:t xml:space="preserve"> </w:t>
    </w:r>
    <w:fldSimple w:instr=" DOCPROPERTY  Vol  \* MERGEFORMAT ">
      <w:r>
        <w:t>48</w:t>
      </w:r>
    </w:fldSimple>
    <w:r w:rsidRPr="001D0612">
      <w:t xml:space="preserve">  (</w:t>
    </w:r>
    <w:fldSimple w:instr=" DOCPROPERTY  DOI  \* MERGEFORMAT ">
      <w:r>
        <w:t>https://doi.org/10.33321/cdi.2024.48.26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7540" w14:textId="77777777" w:rsidR="00C34F96" w:rsidRPr="00912A31" w:rsidRDefault="00C34F96"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t>2024</w:t>
      </w:r>
    </w:fldSimple>
    <w:r w:rsidRPr="001D0612">
      <w:t xml:space="preserve"> </w:t>
    </w:r>
    <w:fldSimple w:instr=" DOCPROPERTY  Vol  \* MERGEFORMAT ">
      <w:r>
        <w:t>48</w:t>
      </w:r>
    </w:fldSimple>
    <w:r w:rsidRPr="001D0612">
      <w:t xml:space="preserve">  (</w:t>
    </w:r>
    <w:fldSimple w:instr=" DOCPROPERTY  DOI  \* MERGEFORMAT ">
      <w:r>
        <w:t>https://doi.org/10.33321/cdi.2024.48.26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405B" w14:textId="77777777" w:rsidR="00FB3BEF" w:rsidRPr="00B91FB5" w:rsidRDefault="00FB3BEF" w:rsidP="00B91FB5">
      <w:pPr>
        <w:spacing w:line="240" w:lineRule="auto"/>
        <w:rPr>
          <w:sz w:val="18"/>
          <w:szCs w:val="18"/>
        </w:rPr>
      </w:pPr>
      <w:r w:rsidRPr="00B91FB5">
        <w:rPr>
          <w:sz w:val="18"/>
          <w:szCs w:val="18"/>
        </w:rPr>
        <w:separator/>
      </w:r>
    </w:p>
  </w:footnote>
  <w:footnote w:type="continuationSeparator" w:id="0">
    <w:p w14:paraId="7B932EAF" w14:textId="77777777" w:rsidR="00FB3BEF" w:rsidRDefault="00FB3BEF" w:rsidP="00E54DBA">
      <w:r>
        <w:continuationSeparator/>
      </w:r>
    </w:p>
  </w:footnote>
  <w:footnote w:type="continuationNotice" w:id="1">
    <w:p w14:paraId="4C42F897" w14:textId="77777777" w:rsidR="00FB3BEF" w:rsidRPr="00224EFF" w:rsidRDefault="00FB3BE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597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569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EC1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7CF436D5" wp14:editId="3FE89738">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53832555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E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25DA"/>
    <w:rsid w:val="00112E44"/>
    <w:rsid w:val="00113D58"/>
    <w:rsid w:val="001200CB"/>
    <w:rsid w:val="001223AA"/>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6632"/>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3EAD"/>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26596"/>
    <w:rsid w:val="003316F4"/>
    <w:rsid w:val="003323BC"/>
    <w:rsid w:val="003338BD"/>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257F"/>
    <w:rsid w:val="003A40F5"/>
    <w:rsid w:val="003B3487"/>
    <w:rsid w:val="003B5B8C"/>
    <w:rsid w:val="003B7ADD"/>
    <w:rsid w:val="003C554E"/>
    <w:rsid w:val="003C5E16"/>
    <w:rsid w:val="003C7841"/>
    <w:rsid w:val="003D15AE"/>
    <w:rsid w:val="003D5EAA"/>
    <w:rsid w:val="003D79B1"/>
    <w:rsid w:val="003E1D2E"/>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54FA2"/>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2FD7"/>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60A97"/>
    <w:rsid w:val="00771313"/>
    <w:rsid w:val="007726DC"/>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659EE"/>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13BE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B36EA"/>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B79BD"/>
    <w:rsid w:val="00AC0F5D"/>
    <w:rsid w:val="00AC27EF"/>
    <w:rsid w:val="00AC4595"/>
    <w:rsid w:val="00AC659C"/>
    <w:rsid w:val="00AC66D9"/>
    <w:rsid w:val="00AD0762"/>
    <w:rsid w:val="00AE0209"/>
    <w:rsid w:val="00AE09DE"/>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015"/>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4F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92AA8"/>
    <w:rsid w:val="00CA1AF4"/>
    <w:rsid w:val="00CA6068"/>
    <w:rsid w:val="00CA757A"/>
    <w:rsid w:val="00CB15E1"/>
    <w:rsid w:val="00CB3D46"/>
    <w:rsid w:val="00CB3D75"/>
    <w:rsid w:val="00CC0771"/>
    <w:rsid w:val="00CD1A87"/>
    <w:rsid w:val="00CD35F3"/>
    <w:rsid w:val="00CD5C93"/>
    <w:rsid w:val="00CD69CD"/>
    <w:rsid w:val="00CD76C2"/>
    <w:rsid w:val="00CE0FDD"/>
    <w:rsid w:val="00CE342B"/>
    <w:rsid w:val="00CE67A0"/>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2FC9"/>
    <w:rsid w:val="00D93AD4"/>
    <w:rsid w:val="00DA2E9E"/>
    <w:rsid w:val="00DA6E56"/>
    <w:rsid w:val="00DA78DD"/>
    <w:rsid w:val="00DB0DF2"/>
    <w:rsid w:val="00DB1C65"/>
    <w:rsid w:val="00DC0C4C"/>
    <w:rsid w:val="00DC24E5"/>
    <w:rsid w:val="00DC3B05"/>
    <w:rsid w:val="00DC6705"/>
    <w:rsid w:val="00DC710C"/>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17480"/>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3BEF"/>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8BBD6"/>
  <w15:docId w15:val="{E95E3140-BE92-4ADC-BE49-A96D082D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DC"/>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styleId="BodyText">
    <w:name w:val="Body Text"/>
    <w:basedOn w:val="Normal"/>
    <w:link w:val="BodyTextChar"/>
    <w:uiPriority w:val="99"/>
    <w:semiHidden/>
    <w:unhideWhenUsed/>
    <w:rsid w:val="00326596"/>
    <w:pPr>
      <w:spacing w:after="12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BodyTextChar">
    <w:name w:val="Body Text Char"/>
    <w:basedOn w:val="DefaultParagraphFont"/>
    <w:link w:val="BodyText"/>
    <w:uiPriority w:val="99"/>
    <w:semiHidden/>
    <w:rsid w:val="00326596"/>
    <w:rPr>
      <w:rFonts w:ascii="Calibri" w:hAnsi="Calibri"/>
      <w14:ligatures w14:val="standardContextual"/>
    </w:rPr>
  </w:style>
  <w:style w:type="character" w:customStyle="1" w:styleId="Superscript">
    <w:name w:val="Superscript"/>
    <w:uiPriority w:val="99"/>
    <w:rsid w:val="00AE09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hyperlink" Target="http://www.health.gov.au/cdi"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mailto:cdi.editor@health.gov.au" TargetMode="External"/><Relationship Id="rId30"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1</TotalTime>
  <Pages>27</Pages>
  <Words>6802</Words>
  <Characters>39910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Communicable Diseases Intelligence - The effect of COVID-19 public health measures on nationally notifiable diseases in Australia during 2020 and 2021</vt:lpstr>
    </vt:vector>
  </TitlesOfParts>
  <Company>Interim Australian Centre for Disease Control</Company>
  <LinksUpToDate>false</LinksUpToDate>
  <CharactersWithSpaces>46619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effect of COVID-19 public health measures on nationally notifiable diseases in Australia during 2020 and 2021</dc:title>
  <dc:subject>Analysis of communicable disease trends in Australia during the COVID-19 pandemic, 2020 and 2021.</dc:subject>
  <dc:creator>Anna C Rafferty;Anna Glynn-Robinson;Dharshi Thangarajah;Ben Polkinghorne</dc:creator>
  <cp:keywords>Australia; communicable disease; COVID-19; surveillance</cp:keywords>
  <dc:description>© Commonwealth of Australia CC BY-NC-ND</dc:description>
  <cp:lastModifiedBy>PETRIE, Simon</cp:lastModifiedBy>
  <cp:revision>2</cp:revision>
  <cp:lastPrinted>2024-03-07T01:06:00Z</cp:lastPrinted>
  <dcterms:created xsi:type="dcterms:W3CDTF">2024-07-14T23:40:00Z</dcterms:created>
  <dcterms:modified xsi:type="dcterms:W3CDTF">2024-07-14T23:40:00Z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https://doi.org/10.33321/cdi.2024.48.26</vt:lpwstr>
  </property>
</Properties>
</file>