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5749" w:rsidRPr="00805F89" w:rsidRDefault="00355749" w:rsidP="00805F89">
      <w:pPr>
        <w:pStyle w:val="Title"/>
      </w:pPr>
      <w:r w:rsidRPr="00805F89">
        <w:t>Australian Go</w:t>
      </w:r>
      <w:r w:rsidR="006C578C">
        <w:t>nococcal Surveillance Programme</w:t>
      </w:r>
      <w:r w:rsidR="006C578C">
        <w:br/>
      </w:r>
      <w:r w:rsidRPr="00805F89">
        <w:t xml:space="preserve">Annual Report, 2018 </w:t>
      </w:r>
    </w:p>
    <w:p w:rsidR="00355749" w:rsidRDefault="00355749" w:rsidP="00805F89">
      <w:r>
        <w:t xml:space="preserve">Monica M Lahra, Rodney Enriquez and CR Robert George for the National Neisseria Network, Australia </w:t>
      </w:r>
    </w:p>
    <w:p w:rsidR="00355749" w:rsidRPr="00805F89" w:rsidRDefault="00355749" w:rsidP="00805F89">
      <w:pPr>
        <w:pStyle w:val="Heading1"/>
      </w:pPr>
      <w:r w:rsidRPr="00805F89">
        <w:t xml:space="preserve">Abstract </w:t>
      </w:r>
    </w:p>
    <w:p w:rsidR="00355749" w:rsidRDefault="00355749" w:rsidP="00FC3C3B">
      <w:r>
        <w:t xml:space="preserve">The Australian Gonococcal Surveillance Programme (AGSP) has continuously monitored antimicrobial resistance in clinical isolates of </w:t>
      </w:r>
      <w:r w:rsidRPr="00F458E5">
        <w:rPr>
          <w:rStyle w:val="Emphasis"/>
          <w:b w:val="0"/>
        </w:rPr>
        <w:t xml:space="preserve">Neisseria </w:t>
      </w:r>
      <w:proofErr w:type="spellStart"/>
      <w:r w:rsidRPr="00F458E5">
        <w:rPr>
          <w:rStyle w:val="Emphasis"/>
          <w:b w:val="0"/>
        </w:rPr>
        <w:t>gonorrhoeae</w:t>
      </w:r>
      <w:proofErr w:type="spellEnd"/>
      <w:r>
        <w:t xml:space="preserve"> from all states and territories since 1981. In 2018, there were 9,006 clinical isolates of gonococci from public and private sector sources tested for </w:t>
      </w:r>
      <w:r w:rsidRPr="00F458E5">
        <w:rPr>
          <w:rStyle w:val="Emphasis"/>
          <w:b w:val="0"/>
        </w:rPr>
        <w:t xml:space="preserve">in vitro </w:t>
      </w:r>
      <w:r>
        <w:t xml:space="preserve">antimicrobial susceptibility by standardised methods. This was the highest annual total of isolates tested since the inception of the AGSP. The current treatment recommendation for gonorrhoea, for the majority of Australia, remains dual therapy with ceftriaxone and azithromycin. Decreased susceptibility to ceftriaxone (minimum inhibitory concentration (MIC) value ≥0.06 mg/L) was found nationally in 1.73% of isolates. The highest proportions were reported from Tasmania and non-remote Western Australia (7.3% and 2.1% respectively). In 2018 two extensively drug-resistant isolates were reported from Queensland patients. These two isolates, with ceftriaxone MIC values of 0.50 mg/L, high-level resistance to azithromycin (MIC ≥ 256 mg/L), and resistance to penicillin and ciprofloxacin were identified and reported to the World Health Organization as isolates of international significance. Resistance to azithromycin (MIC value ≥1.0 mg/L) was found nationally in 6.2% of isolates, lower than the 9.3% reported in 2017, but more than double the proportion reported in 2015 (2.6%). The highest proportions were reported from the Australian Capital Territory (8.7%), Victoria (8.3%), and New South Wales (6.5%). High-level resistance to azithromycin (MIC value ≥256 mg/L) was reported in nine isolates nationally in 2018: four from New South Wales, three from Victoria, and two from Queensland. </w:t>
      </w:r>
    </w:p>
    <w:p w:rsidR="00355749" w:rsidRDefault="00355749" w:rsidP="00FC3C3B">
      <w:r>
        <w:t xml:space="preserve">The proportion of isolates resistant to penicillin in non-remote Australia ranged from 8.8% in non-remote Northern Territory to 44.1% in South Australia. In remote Northern Territory penicillin resistance rates remain low (1.9%), and higher in remote Western Australia (6.5%). </w:t>
      </w:r>
    </w:p>
    <w:p w:rsidR="00355749" w:rsidRDefault="00355749" w:rsidP="00FC3C3B">
      <w:r>
        <w:t xml:space="preserve">The proportion of isolates resistant to ciprofloxacin in non-remote Australia ranged from 10.3% in non-remote Northern Territory to 48.3% in South Australia. Ciprofloxacin resistance rates remain comparatively low in remote Northern Territory (1.9%) and remote Western Australia (4.6%). </w:t>
      </w:r>
    </w:p>
    <w:p w:rsidR="00355749" w:rsidRDefault="00355749" w:rsidP="00FC3C3B">
      <w:r>
        <w:t xml:space="preserve">Keywords: antimicrobial resistance, disease surveillance, gonococcal infection, Neisseria </w:t>
      </w:r>
      <w:proofErr w:type="spellStart"/>
      <w:r>
        <w:t>gonorrhoeae</w:t>
      </w:r>
      <w:proofErr w:type="spellEnd"/>
      <w:r>
        <w:t xml:space="preserve"> </w:t>
      </w:r>
    </w:p>
    <w:p w:rsidR="00355749" w:rsidRDefault="00355749" w:rsidP="00FC3C3B">
      <w:pPr>
        <w:pStyle w:val="Heading1"/>
      </w:pPr>
      <w:r>
        <w:t xml:space="preserve">Introduction </w:t>
      </w:r>
    </w:p>
    <w:p w:rsidR="00355749" w:rsidRDefault="00355749" w:rsidP="00FC3C3B">
      <w:r>
        <w:t xml:space="preserve">Antimicrobial resistance (AMR) in </w:t>
      </w:r>
      <w:r w:rsidRPr="00F458E5">
        <w:rPr>
          <w:rStyle w:val="Emphasis"/>
          <w:b w:val="0"/>
        </w:rPr>
        <w:t xml:space="preserve">Neisseria </w:t>
      </w:r>
      <w:proofErr w:type="spellStart"/>
      <w:r w:rsidRPr="00F458E5">
        <w:rPr>
          <w:rStyle w:val="Emphasis"/>
          <w:b w:val="0"/>
        </w:rPr>
        <w:t>gonorrhoeae</w:t>
      </w:r>
      <w:proofErr w:type="spellEnd"/>
      <w:r>
        <w:t xml:space="preserve"> (NG) is a threat to global health security, with the emergence and spread of multidrug-resistant gonorrhoea predicted to pose significant collateral health and financial costs.</w:t>
      </w:r>
      <w:r>
        <w:rPr>
          <w:vertAlign w:val="superscript"/>
        </w:rPr>
        <w:t>1</w:t>
      </w:r>
      <w:r>
        <w:t xml:space="preserve"> In Australia, increasing gonococcal infection rates</w:t>
      </w:r>
      <w:proofErr w:type="gramStart"/>
      <w:r>
        <w:t>,</w:t>
      </w:r>
      <w:r>
        <w:rPr>
          <w:vertAlign w:val="superscript"/>
        </w:rPr>
        <w:t>2</w:t>
      </w:r>
      <w:proofErr w:type="gramEnd"/>
      <w:r>
        <w:t xml:space="preserve"> the emergence of azithromycin resistance, and new reports of novel ceftriaxone-resistant strains with international spread,</w:t>
      </w:r>
      <w:r>
        <w:rPr>
          <w:vertAlign w:val="superscript"/>
        </w:rPr>
        <w:t>3</w:t>
      </w:r>
      <w:r>
        <w:t xml:space="preserve"> are key concerns and remain the focus of the National Neisseria Network (NNN). The NNN is a collaborative network of jurisdictional </w:t>
      </w:r>
      <w:r w:rsidRPr="00F458E5">
        <w:rPr>
          <w:rStyle w:val="Emphasis"/>
          <w:b w:val="0"/>
        </w:rPr>
        <w:t>Neisseria</w:t>
      </w:r>
      <w:r>
        <w:t xml:space="preserve"> reference laboratories that performs phenotypic and genotypic testing of clinical isolates of pathogenic </w:t>
      </w:r>
      <w:r w:rsidRPr="00F458E5">
        <w:rPr>
          <w:rStyle w:val="Emphasis"/>
          <w:b w:val="0"/>
        </w:rPr>
        <w:t>Neisseria</w:t>
      </w:r>
      <w:r>
        <w:t xml:space="preserve">. Clinical isolates referred to NNN laboratories from public and private sector laboratories represent as wide a section of the community as possible. The Australian Gonococcal Surveillance Programme (AGSP) is a key activity of the NNN which has continuously monitored NG AMR susceptibility since 1981; it is the longest, continually running, national surveillance system for gonococcal AMR. </w:t>
      </w:r>
    </w:p>
    <w:p w:rsidR="00355749" w:rsidRDefault="00355749" w:rsidP="00FC3C3B">
      <w:r>
        <w:lastRenderedPageBreak/>
        <w:t>In Australia, gonorrhoea notifications increased by 80% (from 65.5 to 118.0 per 100,000) in the five years 2013 to 2017. Increases were greater in males (91%) than in females (56%), with notification rates in 2016 remaining higher in males (174.2 per 100,000) than in females (61.8 per 100,000).</w:t>
      </w:r>
      <w:r>
        <w:rPr>
          <w:vertAlign w:val="superscript"/>
        </w:rPr>
        <w:t xml:space="preserve">2 </w:t>
      </w:r>
    </w:p>
    <w:p w:rsidR="00355749" w:rsidRDefault="00355749" w:rsidP="00FC3C3B">
      <w:r>
        <w:t xml:space="preserve">In the five years 2013 to 2017, gonorrhoea annual notification rates in the Aboriginal and Torres Strait Islander (ATSI) population decreased by 19%; the 2017 gonorrhoea notification rate in the ATSI population remains markedly higher (6.6 times) than in the </w:t>
      </w:r>
      <w:r w:rsidR="00F463CF">
        <w:t>non-indigenous</w:t>
      </w:r>
      <w:r>
        <w:t xml:space="preserve"> population (627.5 </w:t>
      </w:r>
      <w:r w:rsidR="00EF09B8">
        <w:t>per 100,000 versus 95.6 per 100,</w:t>
      </w:r>
      <w:r>
        <w:t>000)</w:t>
      </w:r>
      <w:r w:rsidRPr="00F458E5">
        <w:rPr>
          <w:rStyle w:val="Emphasis"/>
          <w:b w:val="0"/>
        </w:rPr>
        <w:t xml:space="preserve"> </w:t>
      </w:r>
      <w:r>
        <w:t xml:space="preserve">and is highest in remote and very remote areas (1,444 per 100,000; i.e., 30 times greater than the </w:t>
      </w:r>
      <w:r w:rsidR="00F463CF">
        <w:t>non-indigenous</w:t>
      </w:r>
      <w:r>
        <w:t xml:space="preserve"> population).</w:t>
      </w:r>
      <w:r>
        <w:rPr>
          <w:vertAlign w:val="superscript"/>
        </w:rPr>
        <w:t>2</w:t>
      </w:r>
      <w:r>
        <w:t xml:space="preserve"> In contrast to non-remote Australia, NG AMR in remote regions remains low in locally acquired infections, with the recommended therapeutic strategy based on oral penicillin.</w:t>
      </w:r>
      <w:r>
        <w:rPr>
          <w:vertAlign w:val="superscript"/>
        </w:rPr>
        <w:t xml:space="preserve">4 </w:t>
      </w:r>
    </w:p>
    <w:p w:rsidR="00355749" w:rsidRDefault="00355749" w:rsidP="00FC3C3B">
      <w:r>
        <w:t>Ceftriaxone and azithromycin dual therapy is recommended in Australia</w:t>
      </w:r>
      <w:proofErr w:type="gramStart"/>
      <w:r>
        <w:t>,</w:t>
      </w:r>
      <w:r>
        <w:rPr>
          <w:vertAlign w:val="superscript"/>
        </w:rPr>
        <w:t>5</w:t>
      </w:r>
      <w:proofErr w:type="gramEnd"/>
      <w:r>
        <w:t xml:space="preserve"> having been introduced in 2014 in an attempt to forestall resistance to ceftriaxone; this was followed by both a steady decline in the proportion of isolates with raised MIC values to ceftriaxone, but also an increase in the proportion of isolates resistant to azithromycin, following rapid emergence of azithromycin resistance in South Australia in early 2016.</w:t>
      </w:r>
      <w:r>
        <w:rPr>
          <w:vertAlign w:val="superscript"/>
        </w:rPr>
        <w:t xml:space="preserve">6 </w:t>
      </w:r>
    </w:p>
    <w:p w:rsidR="00355749" w:rsidRDefault="00355749" w:rsidP="00FC3C3B">
      <w:r>
        <w:t>Paradoxically, the current heightened global awareness of AMR, and increasing disease notification rates reported in Australia and elsewhere,</w:t>
      </w:r>
      <w:r>
        <w:rPr>
          <w:vertAlign w:val="superscript"/>
        </w:rPr>
        <w:t>2,7–10</w:t>
      </w:r>
      <w:r>
        <w:t xml:space="preserve"> have coincided with increased use of nucleic acid amplification testing (NAAT) for diagnosis, replacing bacterial culture and antimicrobial susceptibility testing (AST). In remote regions in Australia, NAAT is used to detect penicillin resistance</w:t>
      </w:r>
      <w:r>
        <w:rPr>
          <w:vertAlign w:val="superscript"/>
        </w:rPr>
        <w:t>11</w:t>
      </w:r>
      <w:proofErr w:type="gramStart"/>
      <w:r>
        <w:rPr>
          <w:vertAlign w:val="superscript"/>
        </w:rPr>
        <w:t>,12</w:t>
      </w:r>
      <w:proofErr w:type="gramEnd"/>
      <w:r>
        <w:t xml:space="preserve"> in NAAT positive samples for NG; this is the first documented use of routine molecular testing for NG AMR detection and surveillance, and these data continue to inform local treatment guidelines.</w:t>
      </w:r>
      <w:r>
        <w:rPr>
          <w:vertAlign w:val="superscript"/>
        </w:rPr>
        <w:t xml:space="preserve">12 </w:t>
      </w:r>
    </w:p>
    <w:p w:rsidR="00355749" w:rsidRDefault="00355749" w:rsidP="00FC3C3B">
      <w:r>
        <w:t>The World Health Organization (WHO) 2018 Report on Global STI Surveillance estimates 87 million new NG infections annually worldwide in those aged 15–49 years, with the highest burden occurring in the Asia Pacific regions.</w:t>
      </w:r>
      <w:r>
        <w:rPr>
          <w:vertAlign w:val="superscript"/>
        </w:rPr>
        <w:t>13</w:t>
      </w:r>
      <w:r>
        <w:t xml:space="preserve"> Additional to this high disease burden in the Asia Pacific, the WHO Gonococcal Antimicrobial Surveillance Programme data indicate high levels of gonococcal AMR with significant gaps in surveillance. Furthermore, unregulated antimicrobial use in these regions provides ideal conditions for the development of AMR.</w:t>
      </w:r>
      <w:r>
        <w:rPr>
          <w:vertAlign w:val="superscript"/>
        </w:rPr>
        <w:t>14</w:t>
      </w:r>
      <w:r>
        <w:t xml:space="preserve"> </w:t>
      </w:r>
      <w:proofErr w:type="gramStart"/>
      <w:r>
        <w:t>The</w:t>
      </w:r>
      <w:proofErr w:type="gramEnd"/>
      <w:r>
        <w:t xml:space="preserve"> emergence of NG AMR in Australia has long been influenced by the introduction of multi-resistant strains from overseas.</w:t>
      </w:r>
      <w:r>
        <w:rPr>
          <w:vertAlign w:val="superscript"/>
        </w:rPr>
        <w:t>15</w:t>
      </w:r>
      <w:r>
        <w:t xml:space="preserve"> The</w:t>
      </w:r>
      <w:r>
        <w:rPr>
          <w:rStyle w:val="Strong"/>
        </w:rPr>
        <w:t xml:space="preserve"> </w:t>
      </w:r>
      <w:r>
        <w:t xml:space="preserve">importation and spread of resistant gonococcal strains, and/or new resistance developing, remains an ongoing concern. </w:t>
      </w:r>
    </w:p>
    <w:p w:rsidR="00355749" w:rsidRDefault="00355749" w:rsidP="00FC3C3B">
      <w:r>
        <w:t>Strategies for treating and controlling gonorrhoea are based on regimens effecting cure in a minimum of 95% of cases. Surveillance data of antibiotics in clinical use are critical to monitor AMR, to detect imported or novel resistance, and to inform treatment guidelines.</w:t>
      </w:r>
      <w:r>
        <w:rPr>
          <w:vertAlign w:val="superscript"/>
        </w:rPr>
        <w:t>16</w:t>
      </w:r>
      <w:r>
        <w:t xml:space="preserve"> The WHO has called for enhanced surveillance as a fundamental component of its Global Action Plan to control the spread and impact of gonococcal AMR.</w:t>
      </w:r>
      <w:r>
        <w:rPr>
          <w:vertAlign w:val="superscript"/>
        </w:rPr>
        <w:t xml:space="preserve">17 </w:t>
      </w:r>
    </w:p>
    <w:p w:rsidR="00355749" w:rsidRPr="00805F89" w:rsidRDefault="00355749" w:rsidP="00805F89">
      <w:pPr>
        <w:pStyle w:val="Heading1"/>
      </w:pPr>
      <w:r w:rsidRPr="00805F89">
        <w:t xml:space="preserve">Methods </w:t>
      </w:r>
    </w:p>
    <w:p w:rsidR="00355749" w:rsidRDefault="00355749" w:rsidP="00FC3C3B">
      <w:r>
        <w:t xml:space="preserve">The NNN AMR data for gonococcal isolates are collated for the AGSP quarterly and annual reports. All confirmed cases of gonorrhoea in Australia are notifiable to the National Notifiable Diseases Surveillance System (NNDSS). The number of isolates tested by the NNN and reported by the AGSP represents a proportion of the total number of cases reported to the NNDSS. The NNN laboratories test gonococcal isolates for susceptibility to penicillin; ceftriaxone; ciprofloxacin; azithromycin; </w:t>
      </w:r>
      <w:proofErr w:type="spellStart"/>
      <w:r>
        <w:t>spectinomycin</w:t>
      </w:r>
      <w:proofErr w:type="spellEnd"/>
      <w:r>
        <w:t xml:space="preserve"> and tetracycline, using previously-described standardised methodology to determine the MIC values.</w:t>
      </w:r>
      <w:r>
        <w:rPr>
          <w:vertAlign w:val="superscript"/>
        </w:rPr>
        <w:t>18</w:t>
      </w:r>
      <w:r>
        <w:t xml:space="preserve"> The MIC value is the lowest antibiotic concentration that inhibits </w:t>
      </w:r>
      <w:r w:rsidRPr="00F458E5">
        <w:rPr>
          <w:rStyle w:val="Emphasis"/>
          <w:b w:val="0"/>
        </w:rPr>
        <w:t>in vitro</w:t>
      </w:r>
      <w:r>
        <w:t xml:space="preserve"> growth under defined conditions. The AGSP conducts a program-specific quality as</w:t>
      </w:r>
      <w:bookmarkStart w:id="0" w:name="_GoBack"/>
      <w:bookmarkEnd w:id="0"/>
      <w:r>
        <w:t>surance program.</w:t>
      </w:r>
      <w:r>
        <w:rPr>
          <w:vertAlign w:val="superscript"/>
        </w:rPr>
        <w:t xml:space="preserve">19 </w:t>
      </w:r>
    </w:p>
    <w:p w:rsidR="00355749" w:rsidRDefault="00355749" w:rsidP="00FC3C3B">
      <w:r>
        <w:lastRenderedPageBreak/>
        <w:t xml:space="preserve">Gonococcal AST data from each jurisdiction are submitted quarterly to the coordinating laboratory (the Neisseria Reference Laboratory and WHO Collaborating Centre for Sexually Transmitted Infections and Antimicrobial Resistance, Sydney) which collates the data for reporting. Where available, the AGSP collects data on the sex of the patient, country of acquisition, and site of isolation of gonococcal isolates. Data collected across jurisdictions are predominantly from urban centres. Data from the Northern Territory and Western Australia are further divided into non-remote and remote regions determined at the jurisdictional level and coincident with </w:t>
      </w:r>
      <w:proofErr w:type="spellStart"/>
      <w:r>
        <w:t>antibiograms</w:t>
      </w:r>
      <w:proofErr w:type="spellEnd"/>
      <w:r>
        <w:t xml:space="preserve"> and consequent therapeutic recommendations. </w:t>
      </w:r>
    </w:p>
    <w:p w:rsidR="00355749" w:rsidRPr="00805F89" w:rsidRDefault="00355749" w:rsidP="00805F89">
      <w:pPr>
        <w:pStyle w:val="Heading1"/>
      </w:pPr>
      <w:r w:rsidRPr="00805F89">
        <w:t xml:space="preserve">Results </w:t>
      </w:r>
    </w:p>
    <w:p w:rsidR="00355749" w:rsidRPr="00805F89" w:rsidRDefault="00355749" w:rsidP="00805F89">
      <w:pPr>
        <w:pStyle w:val="Heading2"/>
      </w:pPr>
      <w:r w:rsidRPr="00805F89">
        <w:t xml:space="preserve">Number of gonococcal isolates and infections </w:t>
      </w:r>
    </w:p>
    <w:p w:rsidR="00355749" w:rsidRDefault="00355749" w:rsidP="00FC3C3B">
      <w:r>
        <w:t>NNN laboratories tested 9,006 NG isolates in 2018, representing the highest annual total of isolates ever assessed by the AGSP. There were 30,858 gonococcal infections notified to the NNDSS in 2018, similarly representing the highest number of annual gonococcal disease notifications since records commenced in 1991 (Figure 1</w:t>
      </w:r>
      <w:r>
        <w:rPr>
          <w:rStyle w:val="Strong"/>
        </w:rPr>
        <w:t>)</w:t>
      </w:r>
      <w:r>
        <w:t>.</w:t>
      </w:r>
      <w:r>
        <w:rPr>
          <w:vertAlign w:val="superscript"/>
        </w:rPr>
        <w:t>20</w:t>
      </w:r>
      <w:r>
        <w:t xml:space="preserve"> Isolates from 29% of all cases of gonorrhoea notified to the NNDSS were tested by the NNN laboratories (Table 1); this rate equals the proportion tested in 2015–2017 but is lower than the rate from 2008–2014 (31% – 42%). The reduced referral rate reflects decreasing reliance on culture in Australia for NG diagnosis given the widespread uptake of NAAT.</w:t>
      </w:r>
    </w:p>
    <w:p w:rsidR="00355749" w:rsidRPr="00374FB5" w:rsidRDefault="00355749" w:rsidP="00374FB5">
      <w:pPr>
        <w:pStyle w:val="CDIFigures"/>
      </w:pPr>
      <w:r w:rsidRPr="00374FB5">
        <w:t>Table 1: Number of Australian Gonococcal Surveillance Programme gonococcal isolates tested as a proportion of National Notifiable Diseases Surveillance System gonorrhoea notifications, Australia, 2018, by state or territory</w:t>
      </w:r>
    </w:p>
    <w:tbl>
      <w:tblPr>
        <w:tblStyle w:val="CDI-StandardTable"/>
        <w:tblW w:w="0" w:type="auto"/>
        <w:tblCellMar>
          <w:top w:w="113" w:type="dxa"/>
          <w:left w:w="113" w:type="dxa"/>
          <w:bottom w:w="113" w:type="dxa"/>
          <w:right w:w="113" w:type="dxa"/>
        </w:tblCellMar>
        <w:tblLook w:val="04A0" w:firstRow="1" w:lastRow="0" w:firstColumn="1" w:lastColumn="0" w:noHBand="0" w:noVBand="1"/>
        <w:tblDescription w:val="shows the proportion of gonococcal disease notifications that had antimicrobial susceptibility testing performed, ranging from 11% in the Northern Territory to 62% in the Australian Capital Territory, with the national proportion being 29%."/>
      </w:tblPr>
      <w:tblGrid>
        <w:gridCol w:w="3261"/>
        <w:gridCol w:w="2401"/>
        <w:gridCol w:w="2402"/>
        <w:gridCol w:w="2402"/>
      </w:tblGrid>
      <w:tr w:rsidR="00355749" w:rsidTr="00C45192">
        <w:trPr>
          <w:cnfStyle w:val="100000000000" w:firstRow="1" w:lastRow="0" w:firstColumn="0" w:lastColumn="0" w:oddVBand="0" w:evenVBand="0" w:oddHBand="0" w:evenHBand="0" w:firstRowFirstColumn="0" w:firstRowLastColumn="0" w:lastRowFirstColumn="0" w:lastRowLastColumn="0"/>
          <w:tblHeader/>
        </w:trPr>
        <w:tc>
          <w:tcPr>
            <w:tcW w:w="3261" w:type="dxa"/>
            <w:tcBorders>
              <w:right w:val="single" w:sz="4" w:space="0" w:color="FFFFFF" w:themeColor="background1"/>
            </w:tcBorders>
            <w:hideMark/>
          </w:tcPr>
          <w:p w:rsidR="00355749" w:rsidRPr="008E13C0" w:rsidRDefault="00355749">
            <w:pPr>
              <w:pStyle w:val="NormalWeb"/>
              <w:rPr>
                <w:color w:val="FFFFFF" w:themeColor="background1"/>
              </w:rPr>
            </w:pPr>
            <w:r w:rsidRPr="008E13C0">
              <w:rPr>
                <w:color w:val="FFFFFF" w:themeColor="background1"/>
              </w:rPr>
              <w:t>State or territory</w:t>
            </w:r>
          </w:p>
        </w:tc>
        <w:tc>
          <w:tcPr>
            <w:tcW w:w="2401" w:type="dxa"/>
            <w:tcBorders>
              <w:left w:val="single" w:sz="4" w:space="0" w:color="FFFFFF" w:themeColor="background1"/>
              <w:right w:val="single" w:sz="4" w:space="0" w:color="FFFFFF" w:themeColor="background1"/>
            </w:tcBorders>
            <w:hideMark/>
          </w:tcPr>
          <w:p w:rsidR="00355749" w:rsidRPr="008E13C0" w:rsidRDefault="00355749" w:rsidP="00AF134B">
            <w:pPr>
              <w:pStyle w:val="NormalWeb"/>
              <w:jc w:val="center"/>
              <w:rPr>
                <w:color w:val="FFFFFF" w:themeColor="background1"/>
              </w:rPr>
            </w:pPr>
            <w:r w:rsidRPr="008E13C0">
              <w:rPr>
                <w:color w:val="FFFFFF" w:themeColor="background1"/>
              </w:rPr>
              <w:t>Number of isolates tested</w:t>
            </w:r>
          </w:p>
        </w:tc>
        <w:tc>
          <w:tcPr>
            <w:tcW w:w="2402" w:type="dxa"/>
            <w:tcBorders>
              <w:left w:val="single" w:sz="4" w:space="0" w:color="FFFFFF" w:themeColor="background1"/>
              <w:right w:val="single" w:sz="4" w:space="0" w:color="FFFFFF" w:themeColor="background1"/>
            </w:tcBorders>
            <w:hideMark/>
          </w:tcPr>
          <w:p w:rsidR="00355749" w:rsidRPr="008E13C0" w:rsidRDefault="00355749" w:rsidP="00AF134B">
            <w:pPr>
              <w:pStyle w:val="NormalWeb"/>
              <w:jc w:val="center"/>
              <w:rPr>
                <w:color w:val="FFFFFF" w:themeColor="background1"/>
              </w:rPr>
            </w:pPr>
            <w:r w:rsidRPr="008E13C0">
              <w:rPr>
                <w:color w:val="FFFFFF" w:themeColor="background1"/>
              </w:rPr>
              <w:t>Number of cases notified</w:t>
            </w:r>
          </w:p>
        </w:tc>
        <w:tc>
          <w:tcPr>
            <w:tcW w:w="2402" w:type="dxa"/>
            <w:tcBorders>
              <w:left w:val="single" w:sz="4" w:space="0" w:color="FFFFFF" w:themeColor="background1"/>
            </w:tcBorders>
            <w:hideMark/>
          </w:tcPr>
          <w:p w:rsidR="00355749" w:rsidRPr="008E13C0" w:rsidRDefault="00DC16A1" w:rsidP="00AF134B">
            <w:pPr>
              <w:pStyle w:val="NormalWeb"/>
              <w:jc w:val="center"/>
              <w:rPr>
                <w:color w:val="FFFFFF" w:themeColor="background1"/>
              </w:rPr>
            </w:pPr>
            <w:r w:rsidRPr="00DC16A1">
              <w:rPr>
                <w:color w:val="FFFFFF" w:themeColor="background1"/>
              </w:rPr>
              <w:t>Isolates Tested/Notifications (%)</w:t>
            </w:r>
          </w:p>
        </w:tc>
      </w:tr>
      <w:tr w:rsidR="00355749" w:rsidTr="00BF6FD0">
        <w:tc>
          <w:tcPr>
            <w:tcW w:w="3261" w:type="dxa"/>
            <w:hideMark/>
          </w:tcPr>
          <w:p w:rsidR="00355749" w:rsidRDefault="00355749">
            <w:pPr>
              <w:pStyle w:val="NormalWeb"/>
            </w:pPr>
            <w:r>
              <w:t>Australian Capital Territory</w:t>
            </w:r>
          </w:p>
        </w:tc>
        <w:tc>
          <w:tcPr>
            <w:tcW w:w="2401" w:type="dxa"/>
            <w:hideMark/>
          </w:tcPr>
          <w:p w:rsidR="00355749" w:rsidRDefault="00355749" w:rsidP="00AF134B">
            <w:pPr>
              <w:pStyle w:val="NormalWeb"/>
              <w:jc w:val="center"/>
            </w:pPr>
            <w:r>
              <w:t>206</w:t>
            </w:r>
          </w:p>
        </w:tc>
        <w:tc>
          <w:tcPr>
            <w:tcW w:w="2402" w:type="dxa"/>
            <w:hideMark/>
          </w:tcPr>
          <w:p w:rsidR="00355749" w:rsidRDefault="00355749" w:rsidP="00AF134B">
            <w:pPr>
              <w:pStyle w:val="NormalWeb"/>
              <w:jc w:val="center"/>
            </w:pPr>
            <w:r>
              <w:t>330</w:t>
            </w:r>
          </w:p>
        </w:tc>
        <w:tc>
          <w:tcPr>
            <w:tcW w:w="2402" w:type="dxa"/>
            <w:hideMark/>
          </w:tcPr>
          <w:p w:rsidR="00355749" w:rsidRDefault="00355749" w:rsidP="00AF134B">
            <w:pPr>
              <w:pStyle w:val="NormalWeb"/>
              <w:jc w:val="center"/>
            </w:pPr>
            <w:r>
              <w:t>62</w:t>
            </w:r>
          </w:p>
        </w:tc>
      </w:tr>
      <w:tr w:rsidR="00355749" w:rsidTr="00BF6FD0">
        <w:trPr>
          <w:cnfStyle w:val="000000010000" w:firstRow="0" w:lastRow="0" w:firstColumn="0" w:lastColumn="0" w:oddVBand="0" w:evenVBand="0" w:oddHBand="0" w:evenHBand="1" w:firstRowFirstColumn="0" w:firstRowLastColumn="0" w:lastRowFirstColumn="0" w:lastRowLastColumn="0"/>
        </w:trPr>
        <w:tc>
          <w:tcPr>
            <w:tcW w:w="3261" w:type="dxa"/>
            <w:hideMark/>
          </w:tcPr>
          <w:p w:rsidR="00355749" w:rsidRDefault="00355749">
            <w:pPr>
              <w:pStyle w:val="NormalWeb"/>
            </w:pPr>
            <w:r>
              <w:t>New South Wales</w:t>
            </w:r>
          </w:p>
        </w:tc>
        <w:tc>
          <w:tcPr>
            <w:tcW w:w="2401" w:type="dxa"/>
            <w:hideMark/>
          </w:tcPr>
          <w:p w:rsidR="00355749" w:rsidRDefault="00355749" w:rsidP="00AF134B">
            <w:pPr>
              <w:pStyle w:val="NormalWeb"/>
              <w:jc w:val="center"/>
            </w:pPr>
            <w:r>
              <w:t>3,535</w:t>
            </w:r>
          </w:p>
        </w:tc>
        <w:tc>
          <w:tcPr>
            <w:tcW w:w="2402" w:type="dxa"/>
            <w:hideMark/>
          </w:tcPr>
          <w:p w:rsidR="00355749" w:rsidRDefault="00355749" w:rsidP="00AF134B">
            <w:pPr>
              <w:pStyle w:val="NormalWeb"/>
              <w:jc w:val="center"/>
            </w:pPr>
            <w:r>
              <w:t>10,559</w:t>
            </w:r>
          </w:p>
        </w:tc>
        <w:tc>
          <w:tcPr>
            <w:tcW w:w="2402" w:type="dxa"/>
            <w:hideMark/>
          </w:tcPr>
          <w:p w:rsidR="00355749" w:rsidRDefault="00355749" w:rsidP="00AF134B">
            <w:pPr>
              <w:pStyle w:val="NormalWeb"/>
              <w:jc w:val="center"/>
            </w:pPr>
            <w:r>
              <w:t>33</w:t>
            </w:r>
          </w:p>
        </w:tc>
      </w:tr>
      <w:tr w:rsidR="00355749" w:rsidTr="00BF6FD0">
        <w:tc>
          <w:tcPr>
            <w:tcW w:w="3261" w:type="dxa"/>
            <w:hideMark/>
          </w:tcPr>
          <w:p w:rsidR="00355749" w:rsidRDefault="00355749">
            <w:pPr>
              <w:pStyle w:val="NormalWeb"/>
            </w:pPr>
            <w:r>
              <w:t>Northern Territory</w:t>
            </w:r>
          </w:p>
        </w:tc>
        <w:tc>
          <w:tcPr>
            <w:tcW w:w="2401" w:type="dxa"/>
            <w:hideMark/>
          </w:tcPr>
          <w:p w:rsidR="00355749" w:rsidRDefault="00355749" w:rsidP="00AF134B">
            <w:pPr>
              <w:pStyle w:val="NormalWeb"/>
              <w:jc w:val="center"/>
            </w:pPr>
            <w:r>
              <w:t>225</w:t>
            </w:r>
          </w:p>
        </w:tc>
        <w:tc>
          <w:tcPr>
            <w:tcW w:w="2402" w:type="dxa"/>
            <w:hideMark/>
          </w:tcPr>
          <w:p w:rsidR="00355749" w:rsidRDefault="00355749" w:rsidP="00AF134B">
            <w:pPr>
              <w:pStyle w:val="NormalWeb"/>
              <w:jc w:val="center"/>
            </w:pPr>
            <w:r>
              <w:t>2,124</w:t>
            </w:r>
          </w:p>
        </w:tc>
        <w:tc>
          <w:tcPr>
            <w:tcW w:w="2402" w:type="dxa"/>
            <w:hideMark/>
          </w:tcPr>
          <w:p w:rsidR="00355749" w:rsidRDefault="00355749" w:rsidP="00AF134B">
            <w:pPr>
              <w:pStyle w:val="NormalWeb"/>
              <w:jc w:val="center"/>
            </w:pPr>
            <w:r>
              <w:t>11</w:t>
            </w:r>
          </w:p>
        </w:tc>
      </w:tr>
      <w:tr w:rsidR="00355749" w:rsidTr="00BF6FD0">
        <w:trPr>
          <w:cnfStyle w:val="000000010000" w:firstRow="0" w:lastRow="0" w:firstColumn="0" w:lastColumn="0" w:oddVBand="0" w:evenVBand="0" w:oddHBand="0" w:evenHBand="1" w:firstRowFirstColumn="0" w:firstRowLastColumn="0" w:lastRowFirstColumn="0" w:lastRowLastColumn="0"/>
        </w:trPr>
        <w:tc>
          <w:tcPr>
            <w:tcW w:w="3261" w:type="dxa"/>
            <w:hideMark/>
          </w:tcPr>
          <w:p w:rsidR="00355749" w:rsidRDefault="00355749">
            <w:pPr>
              <w:pStyle w:val="NormalWeb"/>
            </w:pPr>
            <w:r>
              <w:t>Queensland</w:t>
            </w:r>
          </w:p>
        </w:tc>
        <w:tc>
          <w:tcPr>
            <w:tcW w:w="2401" w:type="dxa"/>
            <w:hideMark/>
          </w:tcPr>
          <w:p w:rsidR="00355749" w:rsidRDefault="00355749" w:rsidP="00AF134B">
            <w:pPr>
              <w:pStyle w:val="NormalWeb"/>
              <w:jc w:val="center"/>
            </w:pPr>
            <w:r>
              <w:t>1,375</w:t>
            </w:r>
          </w:p>
        </w:tc>
        <w:tc>
          <w:tcPr>
            <w:tcW w:w="2402" w:type="dxa"/>
            <w:hideMark/>
          </w:tcPr>
          <w:p w:rsidR="00355749" w:rsidRDefault="00355749" w:rsidP="00AF134B">
            <w:pPr>
              <w:pStyle w:val="NormalWeb"/>
              <w:jc w:val="center"/>
            </w:pPr>
            <w:r>
              <w:t>4,906</w:t>
            </w:r>
          </w:p>
        </w:tc>
        <w:tc>
          <w:tcPr>
            <w:tcW w:w="2402" w:type="dxa"/>
            <w:hideMark/>
          </w:tcPr>
          <w:p w:rsidR="00355749" w:rsidRDefault="00355749" w:rsidP="00AF134B">
            <w:pPr>
              <w:pStyle w:val="NormalWeb"/>
              <w:jc w:val="center"/>
            </w:pPr>
            <w:r>
              <w:t>28</w:t>
            </w:r>
          </w:p>
        </w:tc>
      </w:tr>
      <w:tr w:rsidR="00355749" w:rsidTr="00BF6FD0">
        <w:tc>
          <w:tcPr>
            <w:tcW w:w="3261" w:type="dxa"/>
            <w:hideMark/>
          </w:tcPr>
          <w:p w:rsidR="00355749" w:rsidRDefault="00355749">
            <w:pPr>
              <w:pStyle w:val="NormalWeb"/>
            </w:pPr>
            <w:r>
              <w:t>South Australia</w:t>
            </w:r>
          </w:p>
        </w:tc>
        <w:tc>
          <w:tcPr>
            <w:tcW w:w="2401" w:type="dxa"/>
            <w:hideMark/>
          </w:tcPr>
          <w:p w:rsidR="00355749" w:rsidRDefault="00355749" w:rsidP="00AF134B">
            <w:pPr>
              <w:pStyle w:val="NormalWeb"/>
              <w:jc w:val="center"/>
            </w:pPr>
            <w:r>
              <w:t>231</w:t>
            </w:r>
          </w:p>
        </w:tc>
        <w:tc>
          <w:tcPr>
            <w:tcW w:w="2402" w:type="dxa"/>
            <w:hideMark/>
          </w:tcPr>
          <w:p w:rsidR="00355749" w:rsidRDefault="00355749" w:rsidP="00AF134B">
            <w:pPr>
              <w:pStyle w:val="NormalWeb"/>
              <w:jc w:val="center"/>
            </w:pPr>
            <w:r>
              <w:t>1,288</w:t>
            </w:r>
          </w:p>
        </w:tc>
        <w:tc>
          <w:tcPr>
            <w:tcW w:w="2402" w:type="dxa"/>
            <w:hideMark/>
          </w:tcPr>
          <w:p w:rsidR="00355749" w:rsidRDefault="00355749" w:rsidP="00AF134B">
            <w:pPr>
              <w:pStyle w:val="NormalWeb"/>
              <w:jc w:val="center"/>
            </w:pPr>
            <w:r>
              <w:t>18</w:t>
            </w:r>
          </w:p>
        </w:tc>
      </w:tr>
      <w:tr w:rsidR="00355749" w:rsidTr="00BF6FD0">
        <w:trPr>
          <w:cnfStyle w:val="000000010000" w:firstRow="0" w:lastRow="0" w:firstColumn="0" w:lastColumn="0" w:oddVBand="0" w:evenVBand="0" w:oddHBand="0" w:evenHBand="1" w:firstRowFirstColumn="0" w:firstRowLastColumn="0" w:lastRowFirstColumn="0" w:lastRowLastColumn="0"/>
        </w:trPr>
        <w:tc>
          <w:tcPr>
            <w:tcW w:w="3261" w:type="dxa"/>
            <w:hideMark/>
          </w:tcPr>
          <w:p w:rsidR="00355749" w:rsidRDefault="00355749">
            <w:pPr>
              <w:pStyle w:val="NormalWeb"/>
            </w:pPr>
            <w:r>
              <w:t>Tasmania</w:t>
            </w:r>
          </w:p>
        </w:tc>
        <w:tc>
          <w:tcPr>
            <w:tcW w:w="2401" w:type="dxa"/>
            <w:hideMark/>
          </w:tcPr>
          <w:p w:rsidR="00355749" w:rsidRDefault="00355749" w:rsidP="00AF134B">
            <w:pPr>
              <w:pStyle w:val="NormalWeb"/>
              <w:jc w:val="center"/>
            </w:pPr>
            <w:r>
              <w:t>55</w:t>
            </w:r>
          </w:p>
        </w:tc>
        <w:tc>
          <w:tcPr>
            <w:tcW w:w="2402" w:type="dxa"/>
            <w:hideMark/>
          </w:tcPr>
          <w:p w:rsidR="00355749" w:rsidRDefault="00355749" w:rsidP="00AF134B">
            <w:pPr>
              <w:pStyle w:val="NormalWeb"/>
              <w:jc w:val="center"/>
            </w:pPr>
            <w:r>
              <w:t>149</w:t>
            </w:r>
          </w:p>
        </w:tc>
        <w:tc>
          <w:tcPr>
            <w:tcW w:w="2402" w:type="dxa"/>
            <w:hideMark/>
          </w:tcPr>
          <w:p w:rsidR="00355749" w:rsidRDefault="00355749" w:rsidP="00AF134B">
            <w:pPr>
              <w:pStyle w:val="NormalWeb"/>
              <w:jc w:val="center"/>
            </w:pPr>
            <w:r>
              <w:t>37</w:t>
            </w:r>
          </w:p>
        </w:tc>
      </w:tr>
      <w:tr w:rsidR="00355749" w:rsidTr="00BF6FD0">
        <w:tc>
          <w:tcPr>
            <w:tcW w:w="3261" w:type="dxa"/>
            <w:hideMark/>
          </w:tcPr>
          <w:p w:rsidR="00355749" w:rsidRDefault="00355749">
            <w:pPr>
              <w:pStyle w:val="NormalWeb"/>
            </w:pPr>
            <w:r>
              <w:t>Victoria</w:t>
            </w:r>
          </w:p>
        </w:tc>
        <w:tc>
          <w:tcPr>
            <w:tcW w:w="2401" w:type="dxa"/>
            <w:hideMark/>
          </w:tcPr>
          <w:p w:rsidR="00355749" w:rsidRDefault="00355749" w:rsidP="00AF134B">
            <w:pPr>
              <w:pStyle w:val="NormalWeb"/>
              <w:jc w:val="center"/>
            </w:pPr>
            <w:r>
              <w:t>2,619</w:t>
            </w:r>
          </w:p>
        </w:tc>
        <w:tc>
          <w:tcPr>
            <w:tcW w:w="2402" w:type="dxa"/>
            <w:hideMark/>
          </w:tcPr>
          <w:p w:rsidR="00355749" w:rsidRDefault="00355749" w:rsidP="00AF134B">
            <w:pPr>
              <w:pStyle w:val="NormalWeb"/>
              <w:jc w:val="center"/>
            </w:pPr>
            <w:r>
              <w:t>8,091</w:t>
            </w:r>
          </w:p>
        </w:tc>
        <w:tc>
          <w:tcPr>
            <w:tcW w:w="2402" w:type="dxa"/>
            <w:hideMark/>
          </w:tcPr>
          <w:p w:rsidR="00355749" w:rsidRDefault="00355749" w:rsidP="00AF134B">
            <w:pPr>
              <w:pStyle w:val="NormalWeb"/>
              <w:jc w:val="center"/>
            </w:pPr>
            <w:r>
              <w:t>32</w:t>
            </w:r>
          </w:p>
        </w:tc>
      </w:tr>
      <w:tr w:rsidR="00355749" w:rsidTr="00BF6FD0">
        <w:trPr>
          <w:cnfStyle w:val="000000010000" w:firstRow="0" w:lastRow="0" w:firstColumn="0" w:lastColumn="0" w:oddVBand="0" w:evenVBand="0" w:oddHBand="0" w:evenHBand="1" w:firstRowFirstColumn="0" w:firstRowLastColumn="0" w:lastRowFirstColumn="0" w:lastRowLastColumn="0"/>
        </w:trPr>
        <w:tc>
          <w:tcPr>
            <w:tcW w:w="3261" w:type="dxa"/>
            <w:hideMark/>
          </w:tcPr>
          <w:p w:rsidR="00355749" w:rsidRDefault="00355749">
            <w:pPr>
              <w:pStyle w:val="NormalWeb"/>
            </w:pPr>
            <w:r>
              <w:t>Western Australia</w:t>
            </w:r>
          </w:p>
        </w:tc>
        <w:tc>
          <w:tcPr>
            <w:tcW w:w="2401" w:type="dxa"/>
            <w:hideMark/>
          </w:tcPr>
          <w:p w:rsidR="00355749" w:rsidRDefault="00355749" w:rsidP="00AF134B">
            <w:pPr>
              <w:pStyle w:val="NormalWeb"/>
              <w:jc w:val="center"/>
            </w:pPr>
            <w:r>
              <w:t>760</w:t>
            </w:r>
          </w:p>
        </w:tc>
        <w:tc>
          <w:tcPr>
            <w:tcW w:w="2402" w:type="dxa"/>
            <w:hideMark/>
          </w:tcPr>
          <w:p w:rsidR="00355749" w:rsidRDefault="00355749" w:rsidP="00AF134B">
            <w:pPr>
              <w:pStyle w:val="NormalWeb"/>
              <w:jc w:val="center"/>
            </w:pPr>
            <w:r>
              <w:t>3,411</w:t>
            </w:r>
          </w:p>
        </w:tc>
        <w:tc>
          <w:tcPr>
            <w:tcW w:w="2402" w:type="dxa"/>
            <w:hideMark/>
          </w:tcPr>
          <w:p w:rsidR="00355749" w:rsidRDefault="00355749" w:rsidP="00AF134B">
            <w:pPr>
              <w:pStyle w:val="NormalWeb"/>
              <w:jc w:val="center"/>
            </w:pPr>
            <w:r>
              <w:t>22</w:t>
            </w:r>
          </w:p>
        </w:tc>
      </w:tr>
      <w:tr w:rsidR="00355749" w:rsidTr="004A5252">
        <w:tc>
          <w:tcPr>
            <w:tcW w:w="3261" w:type="dxa"/>
            <w:shd w:val="clear" w:color="auto" w:fill="FDE9D9" w:themeFill="accent6" w:themeFillTint="33"/>
            <w:hideMark/>
          </w:tcPr>
          <w:p w:rsidR="00355749" w:rsidRDefault="00355749">
            <w:pPr>
              <w:pStyle w:val="NormalWeb"/>
            </w:pPr>
            <w:r>
              <w:t>Australia</w:t>
            </w:r>
          </w:p>
        </w:tc>
        <w:tc>
          <w:tcPr>
            <w:tcW w:w="2401" w:type="dxa"/>
            <w:shd w:val="clear" w:color="auto" w:fill="FDE9D9" w:themeFill="accent6" w:themeFillTint="33"/>
            <w:hideMark/>
          </w:tcPr>
          <w:p w:rsidR="00355749" w:rsidRDefault="00355749" w:rsidP="00AF134B">
            <w:pPr>
              <w:pStyle w:val="NormalWeb"/>
              <w:jc w:val="center"/>
            </w:pPr>
            <w:r>
              <w:t>9,006</w:t>
            </w:r>
          </w:p>
        </w:tc>
        <w:tc>
          <w:tcPr>
            <w:tcW w:w="2402" w:type="dxa"/>
            <w:shd w:val="clear" w:color="auto" w:fill="FDE9D9" w:themeFill="accent6" w:themeFillTint="33"/>
            <w:hideMark/>
          </w:tcPr>
          <w:p w:rsidR="00355749" w:rsidRDefault="00355749" w:rsidP="00AF134B">
            <w:pPr>
              <w:pStyle w:val="NormalWeb"/>
              <w:jc w:val="center"/>
            </w:pPr>
            <w:r>
              <w:t>30,858</w:t>
            </w:r>
          </w:p>
        </w:tc>
        <w:tc>
          <w:tcPr>
            <w:tcW w:w="2402" w:type="dxa"/>
            <w:shd w:val="clear" w:color="auto" w:fill="FDE9D9" w:themeFill="accent6" w:themeFillTint="33"/>
            <w:hideMark/>
          </w:tcPr>
          <w:p w:rsidR="00355749" w:rsidRDefault="00355749" w:rsidP="00AF134B">
            <w:pPr>
              <w:pStyle w:val="NormalWeb"/>
              <w:jc w:val="center"/>
            </w:pPr>
            <w:r>
              <w:t>29</w:t>
            </w:r>
          </w:p>
        </w:tc>
      </w:tr>
    </w:tbl>
    <w:p w:rsidR="00023EA4" w:rsidRDefault="00023EA4" w:rsidP="00023EA4">
      <w:pPr>
        <w:pStyle w:val="CDIFigures"/>
        <w:sectPr w:rsidR="00023EA4" w:rsidSect="00A30C37">
          <w:headerReference w:type="default" r:id="rId9"/>
          <w:footerReference w:type="default" r:id="rId10"/>
          <w:footerReference w:type="first" r:id="rId11"/>
          <w:pgSz w:w="11906" w:h="16838"/>
          <w:pgMar w:top="720" w:right="720" w:bottom="1134" w:left="720" w:header="709" w:footer="284" w:gutter="0"/>
          <w:cols w:space="708"/>
          <w:titlePg/>
          <w:docGrid w:linePitch="360"/>
        </w:sectPr>
      </w:pPr>
    </w:p>
    <w:p w:rsidR="00355749" w:rsidRPr="00805F89" w:rsidRDefault="00355749" w:rsidP="00805F89">
      <w:pPr>
        <w:pStyle w:val="CDIFigures"/>
      </w:pPr>
      <w:r w:rsidRPr="00805F89">
        <w:lastRenderedPageBreak/>
        <w:t xml:space="preserve">Figure 1: Number of gonococcal disease cases reported to the National Notifiable Diseases Surveillance System compared with </w:t>
      </w:r>
      <w:r w:rsidRPr="008078EA">
        <w:rPr>
          <w:i/>
        </w:rPr>
        <w:t xml:space="preserve">N. </w:t>
      </w:r>
      <w:proofErr w:type="spellStart"/>
      <w:r w:rsidRPr="008078EA">
        <w:rPr>
          <w:i/>
        </w:rPr>
        <w:t>gonorrhoeae</w:t>
      </w:r>
      <w:proofErr w:type="spellEnd"/>
      <w:r w:rsidRPr="00805F89">
        <w:t xml:space="preserve"> isolates available for laboratory testing by the Australian Gonococcal Surveillance Programme, Australia, 1991–2018</w:t>
      </w:r>
    </w:p>
    <w:p w:rsidR="00355749" w:rsidRDefault="00355749">
      <w:pPr>
        <w:rPr>
          <w:rFonts w:eastAsia="Times New Roman"/>
        </w:rPr>
      </w:pPr>
      <w:r>
        <w:rPr>
          <w:rFonts w:eastAsia="Times New Roman"/>
          <w:noProof/>
        </w:rPr>
        <w:drawing>
          <wp:inline distT="0" distB="0" distL="0" distR="0">
            <wp:extent cx="9204979" cy="5498603"/>
            <wp:effectExtent l="0" t="0" r="0" b="6985"/>
            <wp:docPr id="2" name="Picture 2" descr="shows the number of gonococcal disease cases reported to the National Notifiable Diseases Surveillance System over the years 1991 to 2018, compared isolates with N. gonorrhoeae isolates available for laboratory testing by the Australian Gonococcal Surveillance Programme, Australia, over the same time frame. There has been a large rise in both disease notifications and isolates available for laboratory testing over the time frame, and particularly since 2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ows the number of gonococcal disease cases reported to the National Notifiable Diseases Surveillance System over the years 1991 to 2018, compared isolates with N. gonorrhoeae isolates available for laboratory testing by the Australian Gonococcal Surveillance Programme, Australia, over the same time frame. There has been a large rise in both disease notifications and isolates available for laboratory testing over the time frame, and particularly since 2010."/>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9204979" cy="5498603"/>
                    </a:xfrm>
                    <a:prstGeom prst="rect">
                      <a:avLst/>
                    </a:prstGeom>
                  </pic:spPr>
                </pic:pic>
              </a:graphicData>
            </a:graphic>
          </wp:inline>
        </w:drawing>
      </w:r>
    </w:p>
    <w:p w:rsidR="00023EA4" w:rsidRDefault="00023EA4" w:rsidP="00FC3C3B">
      <w:pPr>
        <w:pStyle w:val="Heading2"/>
        <w:sectPr w:rsidR="00023EA4" w:rsidSect="00023EA4">
          <w:pgSz w:w="16838" w:h="11906" w:orient="landscape"/>
          <w:pgMar w:top="720" w:right="720" w:bottom="720" w:left="1134" w:header="709" w:footer="284" w:gutter="0"/>
          <w:cols w:space="708"/>
          <w:titlePg/>
          <w:docGrid w:linePitch="360"/>
        </w:sectPr>
      </w:pPr>
    </w:p>
    <w:p w:rsidR="00355749" w:rsidRPr="00805F89" w:rsidRDefault="00355749" w:rsidP="00805F89">
      <w:pPr>
        <w:pStyle w:val="Heading2"/>
      </w:pPr>
      <w:r w:rsidRPr="00805F89">
        <w:lastRenderedPageBreak/>
        <w:t xml:space="preserve">Referred Isolates </w:t>
      </w:r>
    </w:p>
    <w:p w:rsidR="004010A6" w:rsidRDefault="00355749" w:rsidP="004010A6">
      <w:r>
        <w:t>There were 7,415 isolates from males (82.3%) and 1,547 (17.2%) from females (Table 2). 44 isolates were from patients where gender was not recorded. The proportion of gonococcal isolates from males and females has remained stable over recent years (2009–2017), ranging between 17 and 20% for women and 80 and 83% for men. The infected site was reported as ‘other’ or not specified for 83 isolates from males and 42 isolates from females (Table 2). Isolates from urine samples were regarded as genital tract isolates.</w:t>
      </w:r>
    </w:p>
    <w:p w:rsidR="004010A6" w:rsidRPr="00805F89" w:rsidRDefault="004010A6" w:rsidP="00805F89">
      <w:pPr>
        <w:pStyle w:val="Heading2"/>
      </w:pPr>
      <w:r w:rsidRPr="00805F89">
        <w:t xml:space="preserve">Antibiotic susceptibility patterns </w:t>
      </w:r>
    </w:p>
    <w:p w:rsidR="004010A6" w:rsidRDefault="004010A6" w:rsidP="004010A6">
      <w:r>
        <w:t>As in previous years, gonococcal AMR patterns differed by state and territory (Table 3).</w:t>
      </w:r>
    </w:p>
    <w:p w:rsidR="004010A6" w:rsidRDefault="004010A6" w:rsidP="004010A6">
      <w:pPr>
        <w:sectPr w:rsidR="004010A6" w:rsidSect="00A30C37">
          <w:pgSz w:w="11906" w:h="16838"/>
          <w:pgMar w:top="720" w:right="720" w:bottom="1134" w:left="720" w:header="709" w:footer="284" w:gutter="0"/>
          <w:cols w:space="708"/>
          <w:titlePg/>
          <w:docGrid w:linePitch="360"/>
        </w:sectPr>
      </w:pPr>
    </w:p>
    <w:p w:rsidR="00355749" w:rsidRPr="00805F89" w:rsidRDefault="00355749" w:rsidP="00805F89">
      <w:pPr>
        <w:pStyle w:val="CDIFigures"/>
      </w:pPr>
      <w:r w:rsidRPr="00805F89">
        <w:lastRenderedPageBreak/>
        <w:t>Table 2: Gonococcal isolates, Australia, 2018, by sex, site and jurisdiction tested.</w:t>
      </w:r>
    </w:p>
    <w:tbl>
      <w:tblPr>
        <w:tblStyle w:val="CDI-StandardTable"/>
        <w:tblW w:w="0" w:type="auto"/>
        <w:tblLayout w:type="fixed"/>
        <w:tblCellMar>
          <w:top w:w="113" w:type="dxa"/>
          <w:left w:w="113" w:type="dxa"/>
          <w:bottom w:w="113" w:type="dxa"/>
          <w:right w:w="113" w:type="dxa"/>
        </w:tblCellMar>
        <w:tblLook w:val="04A0" w:firstRow="1" w:lastRow="0" w:firstColumn="1" w:lastColumn="0" w:noHBand="0" w:noVBand="1"/>
        <w:tblDescription w:val="shows the sites from which gonococcal isolates were cultured, including genital, rectal, pharyngeal, and isolates where the infection was considered to be disseminated."/>
      </w:tblPr>
      <w:tblGrid>
        <w:gridCol w:w="1358"/>
        <w:gridCol w:w="1358"/>
        <w:gridCol w:w="1358"/>
        <w:gridCol w:w="1358"/>
        <w:gridCol w:w="1358"/>
        <w:gridCol w:w="1359"/>
        <w:gridCol w:w="1358"/>
        <w:gridCol w:w="1358"/>
        <w:gridCol w:w="1358"/>
        <w:gridCol w:w="1358"/>
        <w:gridCol w:w="1359"/>
      </w:tblGrid>
      <w:tr w:rsidR="008E13C0" w:rsidRPr="008E13C0" w:rsidTr="0001665E">
        <w:trPr>
          <w:cnfStyle w:val="100000000000" w:firstRow="1" w:lastRow="0" w:firstColumn="0" w:lastColumn="0" w:oddVBand="0" w:evenVBand="0" w:oddHBand="0" w:evenHBand="0" w:firstRowFirstColumn="0" w:firstRowLastColumn="0" w:lastRowFirstColumn="0" w:lastRowLastColumn="0"/>
          <w:tblHeader/>
        </w:trPr>
        <w:tc>
          <w:tcPr>
            <w:tcW w:w="1358" w:type="dxa"/>
            <w:hideMark/>
          </w:tcPr>
          <w:p w:rsidR="00355749" w:rsidRPr="008E13C0" w:rsidRDefault="00355749">
            <w:pPr>
              <w:pStyle w:val="NormalWeb"/>
              <w:rPr>
                <w:color w:val="FFFFFF" w:themeColor="background1"/>
              </w:rPr>
            </w:pPr>
            <w:r w:rsidRPr="008E13C0">
              <w:rPr>
                <w:color w:val="FFFFFF" w:themeColor="background1"/>
              </w:rPr>
              <w:t>Sex</w:t>
            </w:r>
          </w:p>
        </w:tc>
        <w:tc>
          <w:tcPr>
            <w:tcW w:w="1358" w:type="dxa"/>
            <w:hideMark/>
          </w:tcPr>
          <w:p w:rsidR="00355749" w:rsidRPr="008E13C0" w:rsidRDefault="00355749" w:rsidP="0001665E">
            <w:pPr>
              <w:pStyle w:val="NormalWeb"/>
              <w:jc w:val="center"/>
              <w:rPr>
                <w:color w:val="FFFFFF" w:themeColor="background1"/>
              </w:rPr>
            </w:pPr>
            <w:r w:rsidRPr="008E13C0">
              <w:rPr>
                <w:color w:val="FFFFFF" w:themeColor="background1"/>
              </w:rPr>
              <w:t>Site</w:t>
            </w:r>
          </w:p>
        </w:tc>
        <w:tc>
          <w:tcPr>
            <w:tcW w:w="1358" w:type="dxa"/>
            <w:hideMark/>
          </w:tcPr>
          <w:p w:rsidR="00355749" w:rsidRPr="008E13C0" w:rsidRDefault="00355749" w:rsidP="0001665E">
            <w:pPr>
              <w:pStyle w:val="NormalWeb"/>
              <w:jc w:val="center"/>
              <w:rPr>
                <w:color w:val="FFFFFF" w:themeColor="background1"/>
              </w:rPr>
            </w:pPr>
            <w:r w:rsidRPr="008E13C0">
              <w:rPr>
                <w:color w:val="FFFFFF" w:themeColor="background1"/>
              </w:rPr>
              <w:t>ACT</w:t>
            </w:r>
          </w:p>
        </w:tc>
        <w:tc>
          <w:tcPr>
            <w:tcW w:w="1358" w:type="dxa"/>
            <w:hideMark/>
          </w:tcPr>
          <w:p w:rsidR="00355749" w:rsidRPr="008E13C0" w:rsidRDefault="00355749" w:rsidP="0001665E">
            <w:pPr>
              <w:pStyle w:val="NormalWeb"/>
              <w:jc w:val="center"/>
              <w:rPr>
                <w:color w:val="FFFFFF" w:themeColor="background1"/>
              </w:rPr>
            </w:pPr>
            <w:r w:rsidRPr="008E13C0">
              <w:rPr>
                <w:color w:val="FFFFFF" w:themeColor="background1"/>
              </w:rPr>
              <w:t>NSW</w:t>
            </w:r>
          </w:p>
        </w:tc>
        <w:tc>
          <w:tcPr>
            <w:tcW w:w="1358" w:type="dxa"/>
            <w:hideMark/>
          </w:tcPr>
          <w:p w:rsidR="00355749" w:rsidRPr="008E13C0" w:rsidRDefault="00355749" w:rsidP="0001665E">
            <w:pPr>
              <w:pStyle w:val="NormalWeb"/>
              <w:jc w:val="center"/>
              <w:rPr>
                <w:color w:val="FFFFFF" w:themeColor="background1"/>
              </w:rPr>
            </w:pPr>
            <w:r w:rsidRPr="008E13C0">
              <w:rPr>
                <w:color w:val="FFFFFF" w:themeColor="background1"/>
              </w:rPr>
              <w:t>NT</w:t>
            </w:r>
          </w:p>
        </w:tc>
        <w:tc>
          <w:tcPr>
            <w:tcW w:w="1359" w:type="dxa"/>
            <w:hideMark/>
          </w:tcPr>
          <w:p w:rsidR="00355749" w:rsidRPr="008E13C0" w:rsidRDefault="00355749" w:rsidP="0001665E">
            <w:pPr>
              <w:pStyle w:val="NormalWeb"/>
              <w:jc w:val="center"/>
              <w:rPr>
                <w:color w:val="FFFFFF" w:themeColor="background1"/>
              </w:rPr>
            </w:pPr>
            <w:r w:rsidRPr="008E13C0">
              <w:rPr>
                <w:color w:val="FFFFFF" w:themeColor="background1"/>
              </w:rPr>
              <w:t>Qld</w:t>
            </w:r>
          </w:p>
        </w:tc>
        <w:tc>
          <w:tcPr>
            <w:tcW w:w="1358" w:type="dxa"/>
            <w:hideMark/>
          </w:tcPr>
          <w:p w:rsidR="00355749" w:rsidRPr="008E13C0" w:rsidRDefault="00355749" w:rsidP="0001665E">
            <w:pPr>
              <w:pStyle w:val="NormalWeb"/>
              <w:jc w:val="center"/>
              <w:rPr>
                <w:color w:val="FFFFFF" w:themeColor="background1"/>
              </w:rPr>
            </w:pPr>
            <w:r w:rsidRPr="008E13C0">
              <w:rPr>
                <w:color w:val="FFFFFF" w:themeColor="background1"/>
              </w:rPr>
              <w:t>SA</w:t>
            </w:r>
          </w:p>
        </w:tc>
        <w:tc>
          <w:tcPr>
            <w:tcW w:w="1358" w:type="dxa"/>
            <w:hideMark/>
          </w:tcPr>
          <w:p w:rsidR="00355749" w:rsidRPr="008E13C0" w:rsidRDefault="00355749" w:rsidP="0001665E">
            <w:pPr>
              <w:pStyle w:val="NormalWeb"/>
              <w:jc w:val="center"/>
              <w:rPr>
                <w:color w:val="FFFFFF" w:themeColor="background1"/>
              </w:rPr>
            </w:pPr>
            <w:r w:rsidRPr="008E13C0">
              <w:rPr>
                <w:color w:val="FFFFFF" w:themeColor="background1"/>
              </w:rPr>
              <w:t>Vic</w:t>
            </w:r>
          </w:p>
        </w:tc>
        <w:tc>
          <w:tcPr>
            <w:tcW w:w="1358" w:type="dxa"/>
            <w:hideMark/>
          </w:tcPr>
          <w:p w:rsidR="00355749" w:rsidRPr="008E13C0" w:rsidRDefault="00355749" w:rsidP="0001665E">
            <w:pPr>
              <w:pStyle w:val="NormalWeb"/>
              <w:jc w:val="center"/>
              <w:rPr>
                <w:color w:val="FFFFFF" w:themeColor="background1"/>
              </w:rPr>
            </w:pPr>
            <w:r w:rsidRPr="008E13C0">
              <w:rPr>
                <w:color w:val="FFFFFF" w:themeColor="background1"/>
              </w:rPr>
              <w:t>Tas</w:t>
            </w:r>
          </w:p>
        </w:tc>
        <w:tc>
          <w:tcPr>
            <w:tcW w:w="1358" w:type="dxa"/>
            <w:hideMark/>
          </w:tcPr>
          <w:p w:rsidR="00355749" w:rsidRPr="008E13C0" w:rsidRDefault="00355749" w:rsidP="0001665E">
            <w:pPr>
              <w:pStyle w:val="NormalWeb"/>
              <w:jc w:val="center"/>
              <w:rPr>
                <w:color w:val="FFFFFF" w:themeColor="background1"/>
              </w:rPr>
            </w:pPr>
            <w:r w:rsidRPr="008E13C0">
              <w:rPr>
                <w:color w:val="FFFFFF" w:themeColor="background1"/>
              </w:rPr>
              <w:t>WA</w:t>
            </w:r>
          </w:p>
        </w:tc>
        <w:tc>
          <w:tcPr>
            <w:tcW w:w="1359" w:type="dxa"/>
            <w:hideMark/>
          </w:tcPr>
          <w:p w:rsidR="00355749" w:rsidRPr="008E13C0" w:rsidRDefault="00374FB5" w:rsidP="0001665E">
            <w:pPr>
              <w:pStyle w:val="NormalWeb"/>
              <w:jc w:val="center"/>
              <w:rPr>
                <w:color w:val="FFFFFF" w:themeColor="background1"/>
              </w:rPr>
            </w:pPr>
            <w:r w:rsidRPr="008E13C0">
              <w:rPr>
                <w:color w:val="FFFFFF" w:themeColor="background1"/>
              </w:rPr>
              <w:t>Australia</w:t>
            </w:r>
          </w:p>
        </w:tc>
      </w:tr>
      <w:tr w:rsidR="00EC3513" w:rsidRPr="00EC3513" w:rsidTr="00EC3513">
        <w:tc>
          <w:tcPr>
            <w:tcW w:w="1358" w:type="dxa"/>
            <w:shd w:val="clear" w:color="auto" w:fill="808080" w:themeFill="background1" w:themeFillShade="80"/>
            <w:hideMark/>
          </w:tcPr>
          <w:p w:rsidR="00355749" w:rsidRPr="00EC3513" w:rsidRDefault="00355749">
            <w:pPr>
              <w:pStyle w:val="NormalWeb"/>
              <w:rPr>
                <w:b/>
                <w:color w:val="FFFFFF" w:themeColor="background1"/>
              </w:rPr>
            </w:pPr>
            <w:r w:rsidRPr="00EC3513">
              <w:rPr>
                <w:b/>
                <w:color w:val="FFFFFF" w:themeColor="background1"/>
              </w:rPr>
              <w:t>Male</w:t>
            </w:r>
          </w:p>
        </w:tc>
        <w:tc>
          <w:tcPr>
            <w:tcW w:w="1358" w:type="dxa"/>
            <w:shd w:val="clear" w:color="auto" w:fill="808080" w:themeFill="background1" w:themeFillShade="80"/>
            <w:hideMark/>
          </w:tcPr>
          <w:p w:rsidR="00355749" w:rsidRPr="00EC3513" w:rsidRDefault="00355749" w:rsidP="0001665E">
            <w:pPr>
              <w:pStyle w:val="NormalWeb"/>
              <w:jc w:val="center"/>
              <w:rPr>
                <w:b/>
                <w:color w:val="FFFFFF" w:themeColor="background1"/>
              </w:rPr>
            </w:pPr>
            <w:r w:rsidRPr="00EC3513">
              <w:rPr>
                <w:b/>
                <w:color w:val="FFFFFF" w:themeColor="background1"/>
              </w:rPr>
              <w:t>Genital</w:t>
            </w:r>
          </w:p>
        </w:tc>
        <w:tc>
          <w:tcPr>
            <w:tcW w:w="1358" w:type="dxa"/>
            <w:shd w:val="clear" w:color="auto" w:fill="808080" w:themeFill="background1" w:themeFillShade="80"/>
            <w:hideMark/>
          </w:tcPr>
          <w:p w:rsidR="00355749" w:rsidRPr="00EC3513" w:rsidRDefault="00355749" w:rsidP="0001665E">
            <w:pPr>
              <w:pStyle w:val="NormalWeb"/>
              <w:jc w:val="center"/>
              <w:rPr>
                <w:b/>
                <w:color w:val="FFFFFF" w:themeColor="background1"/>
              </w:rPr>
            </w:pPr>
            <w:r w:rsidRPr="00EC3513">
              <w:rPr>
                <w:b/>
                <w:color w:val="FFFFFF" w:themeColor="background1"/>
              </w:rPr>
              <w:t>65</w:t>
            </w:r>
          </w:p>
        </w:tc>
        <w:tc>
          <w:tcPr>
            <w:tcW w:w="1358" w:type="dxa"/>
            <w:shd w:val="clear" w:color="auto" w:fill="808080" w:themeFill="background1" w:themeFillShade="80"/>
            <w:hideMark/>
          </w:tcPr>
          <w:p w:rsidR="00355749" w:rsidRPr="00EC3513" w:rsidRDefault="00355749" w:rsidP="0001665E">
            <w:pPr>
              <w:pStyle w:val="NormalWeb"/>
              <w:jc w:val="center"/>
              <w:rPr>
                <w:b/>
                <w:color w:val="FFFFFF" w:themeColor="background1"/>
              </w:rPr>
            </w:pPr>
            <w:r w:rsidRPr="00EC3513">
              <w:rPr>
                <w:b/>
                <w:color w:val="FFFFFF" w:themeColor="background1"/>
              </w:rPr>
              <w:t>1,614</w:t>
            </w:r>
          </w:p>
        </w:tc>
        <w:tc>
          <w:tcPr>
            <w:tcW w:w="1358" w:type="dxa"/>
            <w:shd w:val="clear" w:color="auto" w:fill="808080" w:themeFill="background1" w:themeFillShade="80"/>
            <w:hideMark/>
          </w:tcPr>
          <w:p w:rsidR="00355749" w:rsidRPr="00EC3513" w:rsidRDefault="00355749" w:rsidP="0001665E">
            <w:pPr>
              <w:pStyle w:val="NormalWeb"/>
              <w:jc w:val="center"/>
              <w:rPr>
                <w:b/>
                <w:color w:val="FFFFFF" w:themeColor="background1"/>
              </w:rPr>
            </w:pPr>
            <w:r w:rsidRPr="00EC3513">
              <w:rPr>
                <w:b/>
                <w:color w:val="FFFFFF" w:themeColor="background1"/>
              </w:rPr>
              <w:t>167</w:t>
            </w:r>
          </w:p>
        </w:tc>
        <w:tc>
          <w:tcPr>
            <w:tcW w:w="1359" w:type="dxa"/>
            <w:shd w:val="clear" w:color="auto" w:fill="808080" w:themeFill="background1" w:themeFillShade="80"/>
            <w:hideMark/>
          </w:tcPr>
          <w:p w:rsidR="00355749" w:rsidRPr="00EC3513" w:rsidRDefault="00355749" w:rsidP="0001665E">
            <w:pPr>
              <w:pStyle w:val="NormalWeb"/>
              <w:jc w:val="center"/>
              <w:rPr>
                <w:b/>
                <w:color w:val="FFFFFF" w:themeColor="background1"/>
              </w:rPr>
            </w:pPr>
            <w:r w:rsidRPr="00EC3513">
              <w:rPr>
                <w:b/>
                <w:color w:val="FFFFFF" w:themeColor="background1"/>
              </w:rPr>
              <w:t>628</w:t>
            </w:r>
          </w:p>
        </w:tc>
        <w:tc>
          <w:tcPr>
            <w:tcW w:w="1358" w:type="dxa"/>
            <w:shd w:val="clear" w:color="auto" w:fill="808080" w:themeFill="background1" w:themeFillShade="80"/>
            <w:hideMark/>
          </w:tcPr>
          <w:p w:rsidR="00355749" w:rsidRPr="00EC3513" w:rsidRDefault="00355749" w:rsidP="0001665E">
            <w:pPr>
              <w:pStyle w:val="NormalWeb"/>
              <w:jc w:val="center"/>
              <w:rPr>
                <w:b/>
                <w:color w:val="FFFFFF" w:themeColor="background1"/>
              </w:rPr>
            </w:pPr>
            <w:r w:rsidRPr="00EC3513">
              <w:rPr>
                <w:b/>
                <w:color w:val="FFFFFF" w:themeColor="background1"/>
              </w:rPr>
              <w:t>106</w:t>
            </w:r>
          </w:p>
        </w:tc>
        <w:tc>
          <w:tcPr>
            <w:tcW w:w="1358" w:type="dxa"/>
            <w:shd w:val="clear" w:color="auto" w:fill="808080" w:themeFill="background1" w:themeFillShade="80"/>
            <w:hideMark/>
          </w:tcPr>
          <w:p w:rsidR="00355749" w:rsidRPr="00EC3513" w:rsidRDefault="00355749" w:rsidP="0001665E">
            <w:pPr>
              <w:pStyle w:val="NormalWeb"/>
              <w:jc w:val="center"/>
              <w:rPr>
                <w:b/>
                <w:color w:val="FFFFFF" w:themeColor="background1"/>
              </w:rPr>
            </w:pPr>
            <w:r w:rsidRPr="00EC3513">
              <w:rPr>
                <w:b/>
                <w:color w:val="FFFFFF" w:themeColor="background1"/>
              </w:rPr>
              <w:t>1,111</w:t>
            </w:r>
          </w:p>
        </w:tc>
        <w:tc>
          <w:tcPr>
            <w:tcW w:w="1358" w:type="dxa"/>
            <w:shd w:val="clear" w:color="auto" w:fill="808080" w:themeFill="background1" w:themeFillShade="80"/>
            <w:hideMark/>
          </w:tcPr>
          <w:p w:rsidR="00355749" w:rsidRPr="00EC3513" w:rsidRDefault="00355749" w:rsidP="0001665E">
            <w:pPr>
              <w:pStyle w:val="NormalWeb"/>
              <w:jc w:val="center"/>
              <w:rPr>
                <w:b/>
                <w:color w:val="FFFFFF" w:themeColor="background1"/>
              </w:rPr>
            </w:pPr>
            <w:r w:rsidRPr="00EC3513">
              <w:rPr>
                <w:b/>
                <w:color w:val="FFFFFF" w:themeColor="background1"/>
              </w:rPr>
              <w:t>20</w:t>
            </w:r>
          </w:p>
        </w:tc>
        <w:tc>
          <w:tcPr>
            <w:tcW w:w="1358" w:type="dxa"/>
            <w:shd w:val="clear" w:color="auto" w:fill="808080" w:themeFill="background1" w:themeFillShade="80"/>
            <w:hideMark/>
          </w:tcPr>
          <w:p w:rsidR="00355749" w:rsidRPr="00EC3513" w:rsidRDefault="00355749" w:rsidP="0001665E">
            <w:pPr>
              <w:pStyle w:val="NormalWeb"/>
              <w:jc w:val="center"/>
              <w:rPr>
                <w:b/>
                <w:color w:val="FFFFFF" w:themeColor="background1"/>
              </w:rPr>
            </w:pPr>
            <w:r w:rsidRPr="00EC3513">
              <w:rPr>
                <w:b/>
                <w:color w:val="FFFFFF" w:themeColor="background1"/>
              </w:rPr>
              <w:t>405</w:t>
            </w:r>
          </w:p>
        </w:tc>
        <w:tc>
          <w:tcPr>
            <w:tcW w:w="1359" w:type="dxa"/>
            <w:shd w:val="clear" w:color="auto" w:fill="808080" w:themeFill="background1" w:themeFillShade="80"/>
            <w:hideMark/>
          </w:tcPr>
          <w:p w:rsidR="00355749" w:rsidRPr="00EC3513" w:rsidRDefault="00355749" w:rsidP="0001665E">
            <w:pPr>
              <w:pStyle w:val="NormalWeb"/>
              <w:jc w:val="center"/>
              <w:rPr>
                <w:b/>
                <w:color w:val="FFFFFF" w:themeColor="background1"/>
              </w:rPr>
            </w:pPr>
            <w:r w:rsidRPr="00EC3513">
              <w:rPr>
                <w:b/>
                <w:color w:val="FFFFFF" w:themeColor="background1"/>
              </w:rPr>
              <w:t>4,116</w:t>
            </w:r>
          </w:p>
        </w:tc>
      </w:tr>
      <w:tr w:rsidR="0001665E" w:rsidTr="0001665E">
        <w:trPr>
          <w:cnfStyle w:val="000000010000" w:firstRow="0" w:lastRow="0" w:firstColumn="0" w:lastColumn="0" w:oddVBand="0" w:evenVBand="0" w:oddHBand="0" w:evenHBand="1" w:firstRowFirstColumn="0" w:firstRowLastColumn="0" w:lastRowFirstColumn="0" w:lastRowLastColumn="0"/>
        </w:trPr>
        <w:tc>
          <w:tcPr>
            <w:tcW w:w="1358" w:type="dxa"/>
            <w:hideMark/>
          </w:tcPr>
          <w:p w:rsidR="00355749" w:rsidRDefault="00355749"/>
        </w:tc>
        <w:tc>
          <w:tcPr>
            <w:tcW w:w="1358" w:type="dxa"/>
            <w:hideMark/>
          </w:tcPr>
          <w:p w:rsidR="00355749" w:rsidRDefault="00355749" w:rsidP="0001665E">
            <w:pPr>
              <w:pStyle w:val="NormalWeb"/>
              <w:jc w:val="center"/>
              <w:rPr>
                <w:sz w:val="24"/>
                <w:szCs w:val="24"/>
              </w:rPr>
            </w:pPr>
            <w:r>
              <w:t>Rectal</w:t>
            </w:r>
          </w:p>
        </w:tc>
        <w:tc>
          <w:tcPr>
            <w:tcW w:w="1358" w:type="dxa"/>
            <w:hideMark/>
          </w:tcPr>
          <w:p w:rsidR="00355749" w:rsidRDefault="00355749" w:rsidP="0001665E">
            <w:pPr>
              <w:pStyle w:val="NormalWeb"/>
              <w:jc w:val="center"/>
            </w:pPr>
            <w:r>
              <w:t>51</w:t>
            </w:r>
          </w:p>
        </w:tc>
        <w:tc>
          <w:tcPr>
            <w:tcW w:w="1358" w:type="dxa"/>
            <w:hideMark/>
          </w:tcPr>
          <w:p w:rsidR="00355749" w:rsidRDefault="00355749" w:rsidP="0001665E">
            <w:pPr>
              <w:pStyle w:val="NormalWeb"/>
              <w:jc w:val="center"/>
            </w:pPr>
            <w:r>
              <w:t>854</w:t>
            </w:r>
          </w:p>
        </w:tc>
        <w:tc>
          <w:tcPr>
            <w:tcW w:w="1358" w:type="dxa"/>
            <w:hideMark/>
          </w:tcPr>
          <w:p w:rsidR="00355749" w:rsidRDefault="00355749" w:rsidP="0001665E">
            <w:pPr>
              <w:pStyle w:val="NormalWeb"/>
              <w:jc w:val="center"/>
            </w:pPr>
            <w:r>
              <w:t>2</w:t>
            </w:r>
          </w:p>
        </w:tc>
        <w:tc>
          <w:tcPr>
            <w:tcW w:w="1359" w:type="dxa"/>
            <w:hideMark/>
          </w:tcPr>
          <w:p w:rsidR="00355749" w:rsidRDefault="00355749" w:rsidP="0001665E">
            <w:pPr>
              <w:pStyle w:val="NormalWeb"/>
              <w:jc w:val="center"/>
            </w:pPr>
            <w:r>
              <w:t>270</w:t>
            </w:r>
          </w:p>
        </w:tc>
        <w:tc>
          <w:tcPr>
            <w:tcW w:w="1358" w:type="dxa"/>
            <w:hideMark/>
          </w:tcPr>
          <w:p w:rsidR="00355749" w:rsidRDefault="00355749" w:rsidP="0001665E">
            <w:pPr>
              <w:pStyle w:val="NormalWeb"/>
              <w:jc w:val="center"/>
            </w:pPr>
            <w:r>
              <w:t>50</w:t>
            </w:r>
          </w:p>
        </w:tc>
        <w:tc>
          <w:tcPr>
            <w:tcW w:w="1358" w:type="dxa"/>
            <w:hideMark/>
          </w:tcPr>
          <w:p w:rsidR="00355749" w:rsidRDefault="00355749" w:rsidP="0001665E">
            <w:pPr>
              <w:pStyle w:val="NormalWeb"/>
              <w:jc w:val="center"/>
            </w:pPr>
            <w:r>
              <w:t>659</w:t>
            </w:r>
          </w:p>
        </w:tc>
        <w:tc>
          <w:tcPr>
            <w:tcW w:w="1358" w:type="dxa"/>
            <w:hideMark/>
          </w:tcPr>
          <w:p w:rsidR="00355749" w:rsidRDefault="00355749" w:rsidP="0001665E">
            <w:pPr>
              <w:pStyle w:val="NormalWeb"/>
              <w:jc w:val="center"/>
            </w:pPr>
            <w:r>
              <w:t>11</w:t>
            </w:r>
          </w:p>
        </w:tc>
        <w:tc>
          <w:tcPr>
            <w:tcW w:w="1358" w:type="dxa"/>
            <w:hideMark/>
          </w:tcPr>
          <w:p w:rsidR="00355749" w:rsidRDefault="00355749" w:rsidP="0001665E">
            <w:pPr>
              <w:pStyle w:val="NormalWeb"/>
              <w:jc w:val="center"/>
            </w:pPr>
            <w:r>
              <w:t>99</w:t>
            </w:r>
          </w:p>
        </w:tc>
        <w:tc>
          <w:tcPr>
            <w:tcW w:w="1359" w:type="dxa"/>
            <w:hideMark/>
          </w:tcPr>
          <w:p w:rsidR="00355749" w:rsidRDefault="00355749" w:rsidP="0001665E">
            <w:pPr>
              <w:pStyle w:val="NormalWeb"/>
              <w:jc w:val="center"/>
            </w:pPr>
            <w:r>
              <w:t>1,996</w:t>
            </w:r>
          </w:p>
        </w:tc>
      </w:tr>
      <w:tr w:rsidR="00355749" w:rsidTr="0001665E">
        <w:tc>
          <w:tcPr>
            <w:tcW w:w="1358" w:type="dxa"/>
            <w:hideMark/>
          </w:tcPr>
          <w:p w:rsidR="00355749" w:rsidRDefault="00355749"/>
        </w:tc>
        <w:tc>
          <w:tcPr>
            <w:tcW w:w="1358" w:type="dxa"/>
            <w:hideMark/>
          </w:tcPr>
          <w:p w:rsidR="00355749" w:rsidRDefault="00355749" w:rsidP="0001665E">
            <w:pPr>
              <w:pStyle w:val="NormalWeb"/>
              <w:jc w:val="center"/>
              <w:rPr>
                <w:sz w:val="24"/>
                <w:szCs w:val="24"/>
              </w:rPr>
            </w:pPr>
            <w:r>
              <w:t>Pharynx</w:t>
            </w:r>
          </w:p>
        </w:tc>
        <w:tc>
          <w:tcPr>
            <w:tcW w:w="1358" w:type="dxa"/>
            <w:hideMark/>
          </w:tcPr>
          <w:p w:rsidR="00355749" w:rsidRDefault="00355749" w:rsidP="0001665E">
            <w:pPr>
              <w:pStyle w:val="NormalWeb"/>
              <w:jc w:val="center"/>
            </w:pPr>
            <w:r>
              <w:t>71</w:t>
            </w:r>
          </w:p>
        </w:tc>
        <w:tc>
          <w:tcPr>
            <w:tcW w:w="1358" w:type="dxa"/>
            <w:hideMark/>
          </w:tcPr>
          <w:p w:rsidR="00355749" w:rsidRDefault="00355749" w:rsidP="0001665E">
            <w:pPr>
              <w:pStyle w:val="NormalWeb"/>
              <w:jc w:val="center"/>
            </w:pPr>
            <w:r>
              <w:t>500</w:t>
            </w:r>
          </w:p>
        </w:tc>
        <w:tc>
          <w:tcPr>
            <w:tcW w:w="1358" w:type="dxa"/>
            <w:hideMark/>
          </w:tcPr>
          <w:p w:rsidR="00355749" w:rsidRDefault="00355749" w:rsidP="0001665E">
            <w:pPr>
              <w:pStyle w:val="NormalWeb"/>
              <w:jc w:val="center"/>
            </w:pPr>
            <w:r>
              <w:t>0</w:t>
            </w:r>
          </w:p>
        </w:tc>
        <w:tc>
          <w:tcPr>
            <w:tcW w:w="1359" w:type="dxa"/>
            <w:hideMark/>
          </w:tcPr>
          <w:p w:rsidR="00355749" w:rsidRDefault="00355749" w:rsidP="0001665E">
            <w:pPr>
              <w:pStyle w:val="NormalWeb"/>
              <w:jc w:val="center"/>
            </w:pPr>
            <w:r>
              <w:t>131</w:t>
            </w:r>
          </w:p>
        </w:tc>
        <w:tc>
          <w:tcPr>
            <w:tcW w:w="1358" w:type="dxa"/>
            <w:hideMark/>
          </w:tcPr>
          <w:p w:rsidR="00355749" w:rsidRDefault="00355749" w:rsidP="0001665E">
            <w:pPr>
              <w:pStyle w:val="NormalWeb"/>
              <w:jc w:val="center"/>
            </w:pPr>
            <w:r>
              <w:t>10</w:t>
            </w:r>
          </w:p>
        </w:tc>
        <w:tc>
          <w:tcPr>
            <w:tcW w:w="1358" w:type="dxa"/>
            <w:hideMark/>
          </w:tcPr>
          <w:p w:rsidR="00355749" w:rsidRDefault="00355749" w:rsidP="0001665E">
            <w:pPr>
              <w:pStyle w:val="NormalWeb"/>
              <w:jc w:val="center"/>
            </w:pPr>
            <w:r>
              <w:t>426</w:t>
            </w:r>
          </w:p>
        </w:tc>
        <w:tc>
          <w:tcPr>
            <w:tcW w:w="1358" w:type="dxa"/>
            <w:hideMark/>
          </w:tcPr>
          <w:p w:rsidR="00355749" w:rsidRDefault="00355749" w:rsidP="0001665E">
            <w:pPr>
              <w:pStyle w:val="NormalWeb"/>
              <w:jc w:val="center"/>
            </w:pPr>
            <w:r>
              <w:t>10</w:t>
            </w:r>
          </w:p>
        </w:tc>
        <w:tc>
          <w:tcPr>
            <w:tcW w:w="1358" w:type="dxa"/>
            <w:hideMark/>
          </w:tcPr>
          <w:p w:rsidR="00355749" w:rsidRDefault="00355749" w:rsidP="0001665E">
            <w:pPr>
              <w:pStyle w:val="NormalWeb"/>
              <w:jc w:val="center"/>
            </w:pPr>
            <w:r>
              <w:t>58</w:t>
            </w:r>
          </w:p>
        </w:tc>
        <w:tc>
          <w:tcPr>
            <w:tcW w:w="1359" w:type="dxa"/>
            <w:hideMark/>
          </w:tcPr>
          <w:p w:rsidR="00355749" w:rsidRDefault="00355749" w:rsidP="0001665E">
            <w:pPr>
              <w:pStyle w:val="NormalWeb"/>
              <w:jc w:val="center"/>
            </w:pPr>
            <w:r>
              <w:t>1,206</w:t>
            </w:r>
          </w:p>
        </w:tc>
      </w:tr>
      <w:tr w:rsidR="0001665E" w:rsidTr="0001665E">
        <w:trPr>
          <w:cnfStyle w:val="000000010000" w:firstRow="0" w:lastRow="0" w:firstColumn="0" w:lastColumn="0" w:oddVBand="0" w:evenVBand="0" w:oddHBand="0" w:evenHBand="1" w:firstRowFirstColumn="0" w:firstRowLastColumn="0" w:lastRowFirstColumn="0" w:lastRowLastColumn="0"/>
        </w:trPr>
        <w:tc>
          <w:tcPr>
            <w:tcW w:w="1358" w:type="dxa"/>
            <w:hideMark/>
          </w:tcPr>
          <w:p w:rsidR="00355749" w:rsidRDefault="00355749"/>
        </w:tc>
        <w:tc>
          <w:tcPr>
            <w:tcW w:w="1358" w:type="dxa"/>
            <w:hideMark/>
          </w:tcPr>
          <w:p w:rsidR="00355749" w:rsidRDefault="00355749" w:rsidP="0001665E">
            <w:pPr>
              <w:pStyle w:val="NormalWeb"/>
              <w:jc w:val="center"/>
              <w:rPr>
                <w:sz w:val="24"/>
                <w:szCs w:val="24"/>
              </w:rPr>
            </w:pPr>
            <w:proofErr w:type="spellStart"/>
            <w:r>
              <w:t>DGI</w:t>
            </w:r>
            <w:r w:rsidRPr="008078EA">
              <w:rPr>
                <w:vertAlign w:val="superscript"/>
              </w:rPr>
              <w:t>a</w:t>
            </w:r>
            <w:proofErr w:type="spellEnd"/>
          </w:p>
        </w:tc>
        <w:tc>
          <w:tcPr>
            <w:tcW w:w="1358" w:type="dxa"/>
            <w:hideMark/>
          </w:tcPr>
          <w:p w:rsidR="00355749" w:rsidRDefault="00355749" w:rsidP="0001665E">
            <w:pPr>
              <w:pStyle w:val="NormalWeb"/>
              <w:jc w:val="center"/>
            </w:pPr>
            <w:r>
              <w:t>0</w:t>
            </w:r>
          </w:p>
        </w:tc>
        <w:tc>
          <w:tcPr>
            <w:tcW w:w="1358" w:type="dxa"/>
            <w:hideMark/>
          </w:tcPr>
          <w:p w:rsidR="00355749" w:rsidRDefault="00355749" w:rsidP="0001665E">
            <w:pPr>
              <w:pStyle w:val="NormalWeb"/>
              <w:jc w:val="center"/>
            </w:pPr>
            <w:r>
              <w:t>4</w:t>
            </w:r>
          </w:p>
        </w:tc>
        <w:tc>
          <w:tcPr>
            <w:tcW w:w="1358" w:type="dxa"/>
            <w:hideMark/>
          </w:tcPr>
          <w:p w:rsidR="00355749" w:rsidRDefault="00355749" w:rsidP="0001665E">
            <w:pPr>
              <w:pStyle w:val="NormalWeb"/>
              <w:jc w:val="center"/>
            </w:pPr>
            <w:r>
              <w:t>0</w:t>
            </w:r>
          </w:p>
        </w:tc>
        <w:tc>
          <w:tcPr>
            <w:tcW w:w="1359" w:type="dxa"/>
            <w:hideMark/>
          </w:tcPr>
          <w:p w:rsidR="00355749" w:rsidRDefault="00355749" w:rsidP="0001665E">
            <w:pPr>
              <w:pStyle w:val="NormalWeb"/>
              <w:jc w:val="center"/>
            </w:pPr>
            <w:r>
              <w:t>6</w:t>
            </w:r>
          </w:p>
        </w:tc>
        <w:tc>
          <w:tcPr>
            <w:tcW w:w="1358" w:type="dxa"/>
            <w:hideMark/>
          </w:tcPr>
          <w:p w:rsidR="00355749" w:rsidRDefault="00355749" w:rsidP="0001665E">
            <w:pPr>
              <w:pStyle w:val="NormalWeb"/>
              <w:jc w:val="center"/>
            </w:pPr>
            <w:r>
              <w:t>0</w:t>
            </w:r>
          </w:p>
        </w:tc>
        <w:tc>
          <w:tcPr>
            <w:tcW w:w="1358" w:type="dxa"/>
            <w:hideMark/>
          </w:tcPr>
          <w:p w:rsidR="00355749" w:rsidRDefault="00355749" w:rsidP="0001665E">
            <w:pPr>
              <w:pStyle w:val="NormalWeb"/>
              <w:jc w:val="center"/>
            </w:pPr>
            <w:r>
              <w:t>2</w:t>
            </w:r>
          </w:p>
        </w:tc>
        <w:tc>
          <w:tcPr>
            <w:tcW w:w="1358" w:type="dxa"/>
            <w:hideMark/>
          </w:tcPr>
          <w:p w:rsidR="00355749" w:rsidRDefault="00355749" w:rsidP="0001665E">
            <w:pPr>
              <w:pStyle w:val="NormalWeb"/>
              <w:jc w:val="center"/>
            </w:pPr>
            <w:r>
              <w:t>0</w:t>
            </w:r>
          </w:p>
        </w:tc>
        <w:tc>
          <w:tcPr>
            <w:tcW w:w="1358" w:type="dxa"/>
            <w:hideMark/>
          </w:tcPr>
          <w:p w:rsidR="00355749" w:rsidRDefault="00355749" w:rsidP="0001665E">
            <w:pPr>
              <w:pStyle w:val="NormalWeb"/>
              <w:jc w:val="center"/>
            </w:pPr>
            <w:r>
              <w:t>2</w:t>
            </w:r>
          </w:p>
        </w:tc>
        <w:tc>
          <w:tcPr>
            <w:tcW w:w="1359" w:type="dxa"/>
            <w:hideMark/>
          </w:tcPr>
          <w:p w:rsidR="00355749" w:rsidRDefault="00355749" w:rsidP="0001665E">
            <w:pPr>
              <w:pStyle w:val="NormalWeb"/>
              <w:jc w:val="center"/>
            </w:pPr>
            <w:r>
              <w:t>14</w:t>
            </w:r>
          </w:p>
        </w:tc>
      </w:tr>
      <w:tr w:rsidR="00355749" w:rsidTr="0001665E">
        <w:tc>
          <w:tcPr>
            <w:tcW w:w="1358" w:type="dxa"/>
            <w:hideMark/>
          </w:tcPr>
          <w:p w:rsidR="00355749" w:rsidRDefault="00355749"/>
        </w:tc>
        <w:tc>
          <w:tcPr>
            <w:tcW w:w="1358" w:type="dxa"/>
            <w:hideMark/>
          </w:tcPr>
          <w:p w:rsidR="00355749" w:rsidRDefault="00355749" w:rsidP="0001665E">
            <w:pPr>
              <w:pStyle w:val="NormalWeb"/>
              <w:jc w:val="center"/>
              <w:rPr>
                <w:sz w:val="24"/>
                <w:szCs w:val="24"/>
              </w:rPr>
            </w:pPr>
            <w:r>
              <w:t>Other/</w:t>
            </w:r>
            <w:proofErr w:type="spellStart"/>
            <w:r>
              <w:t>NS</w:t>
            </w:r>
            <w:r w:rsidRPr="008078EA">
              <w:rPr>
                <w:vertAlign w:val="superscript"/>
              </w:rPr>
              <w:t>b</w:t>
            </w:r>
            <w:proofErr w:type="spellEnd"/>
          </w:p>
        </w:tc>
        <w:tc>
          <w:tcPr>
            <w:tcW w:w="1358" w:type="dxa"/>
            <w:hideMark/>
          </w:tcPr>
          <w:p w:rsidR="00355749" w:rsidRDefault="00355749" w:rsidP="0001665E">
            <w:pPr>
              <w:pStyle w:val="NormalWeb"/>
              <w:jc w:val="center"/>
            </w:pPr>
            <w:r>
              <w:t>0</w:t>
            </w:r>
          </w:p>
        </w:tc>
        <w:tc>
          <w:tcPr>
            <w:tcW w:w="1358" w:type="dxa"/>
            <w:hideMark/>
          </w:tcPr>
          <w:p w:rsidR="00355749" w:rsidRDefault="00355749" w:rsidP="0001665E">
            <w:pPr>
              <w:pStyle w:val="NormalWeb"/>
              <w:jc w:val="center"/>
            </w:pPr>
            <w:r>
              <w:t>29</w:t>
            </w:r>
          </w:p>
        </w:tc>
        <w:tc>
          <w:tcPr>
            <w:tcW w:w="1358" w:type="dxa"/>
            <w:hideMark/>
          </w:tcPr>
          <w:p w:rsidR="00355749" w:rsidRDefault="00355749" w:rsidP="0001665E">
            <w:pPr>
              <w:pStyle w:val="NormalWeb"/>
              <w:jc w:val="center"/>
            </w:pPr>
            <w:r>
              <w:t>3</w:t>
            </w:r>
          </w:p>
        </w:tc>
        <w:tc>
          <w:tcPr>
            <w:tcW w:w="1359" w:type="dxa"/>
            <w:hideMark/>
          </w:tcPr>
          <w:p w:rsidR="00355749" w:rsidRDefault="00355749" w:rsidP="0001665E">
            <w:pPr>
              <w:pStyle w:val="NormalWeb"/>
              <w:jc w:val="center"/>
            </w:pPr>
            <w:r>
              <w:t>10</w:t>
            </w:r>
          </w:p>
        </w:tc>
        <w:tc>
          <w:tcPr>
            <w:tcW w:w="1358" w:type="dxa"/>
            <w:hideMark/>
          </w:tcPr>
          <w:p w:rsidR="00355749" w:rsidRDefault="00355749" w:rsidP="0001665E">
            <w:pPr>
              <w:pStyle w:val="NormalWeb"/>
              <w:jc w:val="center"/>
            </w:pPr>
            <w:r>
              <w:t>10</w:t>
            </w:r>
          </w:p>
        </w:tc>
        <w:tc>
          <w:tcPr>
            <w:tcW w:w="1358" w:type="dxa"/>
            <w:hideMark/>
          </w:tcPr>
          <w:p w:rsidR="00355749" w:rsidRDefault="00355749" w:rsidP="0001665E">
            <w:pPr>
              <w:pStyle w:val="NormalWeb"/>
              <w:jc w:val="center"/>
            </w:pPr>
            <w:r>
              <w:t>14</w:t>
            </w:r>
          </w:p>
        </w:tc>
        <w:tc>
          <w:tcPr>
            <w:tcW w:w="1358" w:type="dxa"/>
            <w:hideMark/>
          </w:tcPr>
          <w:p w:rsidR="00355749" w:rsidRDefault="00355749" w:rsidP="0001665E">
            <w:pPr>
              <w:pStyle w:val="NormalWeb"/>
              <w:jc w:val="center"/>
            </w:pPr>
            <w:r>
              <w:t>8</w:t>
            </w:r>
          </w:p>
        </w:tc>
        <w:tc>
          <w:tcPr>
            <w:tcW w:w="1358" w:type="dxa"/>
            <w:hideMark/>
          </w:tcPr>
          <w:p w:rsidR="00355749" w:rsidRDefault="00355749" w:rsidP="0001665E">
            <w:pPr>
              <w:pStyle w:val="NormalWeb"/>
              <w:jc w:val="center"/>
            </w:pPr>
            <w:r>
              <w:t>9</w:t>
            </w:r>
          </w:p>
        </w:tc>
        <w:tc>
          <w:tcPr>
            <w:tcW w:w="1359" w:type="dxa"/>
            <w:hideMark/>
          </w:tcPr>
          <w:p w:rsidR="00355749" w:rsidRDefault="00355749" w:rsidP="0001665E">
            <w:pPr>
              <w:pStyle w:val="NormalWeb"/>
              <w:jc w:val="center"/>
            </w:pPr>
            <w:r>
              <w:t>83</w:t>
            </w:r>
          </w:p>
        </w:tc>
      </w:tr>
      <w:tr w:rsidR="0001665E" w:rsidTr="0001665E">
        <w:trPr>
          <w:cnfStyle w:val="000000010000" w:firstRow="0" w:lastRow="0" w:firstColumn="0" w:lastColumn="0" w:oddVBand="0" w:evenVBand="0" w:oddHBand="0" w:evenHBand="1" w:firstRowFirstColumn="0" w:firstRowLastColumn="0" w:lastRowFirstColumn="0" w:lastRowLastColumn="0"/>
        </w:trPr>
        <w:tc>
          <w:tcPr>
            <w:tcW w:w="1358" w:type="dxa"/>
            <w:hideMark/>
          </w:tcPr>
          <w:p w:rsidR="00355749" w:rsidRDefault="00355749"/>
        </w:tc>
        <w:tc>
          <w:tcPr>
            <w:tcW w:w="1358" w:type="dxa"/>
            <w:hideMark/>
          </w:tcPr>
          <w:p w:rsidR="00355749" w:rsidRDefault="00355749" w:rsidP="0001665E">
            <w:pPr>
              <w:pStyle w:val="NormalWeb"/>
              <w:jc w:val="center"/>
              <w:rPr>
                <w:sz w:val="24"/>
                <w:szCs w:val="24"/>
              </w:rPr>
            </w:pPr>
            <w:r>
              <w:t>Total</w:t>
            </w:r>
          </w:p>
        </w:tc>
        <w:tc>
          <w:tcPr>
            <w:tcW w:w="1358" w:type="dxa"/>
            <w:hideMark/>
          </w:tcPr>
          <w:p w:rsidR="00355749" w:rsidRDefault="00355749" w:rsidP="0001665E">
            <w:pPr>
              <w:pStyle w:val="NormalWeb"/>
              <w:jc w:val="center"/>
            </w:pPr>
            <w:r>
              <w:t>187</w:t>
            </w:r>
          </w:p>
        </w:tc>
        <w:tc>
          <w:tcPr>
            <w:tcW w:w="1358" w:type="dxa"/>
            <w:hideMark/>
          </w:tcPr>
          <w:p w:rsidR="00355749" w:rsidRDefault="00355749" w:rsidP="0001665E">
            <w:pPr>
              <w:pStyle w:val="NormalWeb"/>
              <w:jc w:val="center"/>
            </w:pPr>
            <w:r>
              <w:t>3,001</w:t>
            </w:r>
          </w:p>
        </w:tc>
        <w:tc>
          <w:tcPr>
            <w:tcW w:w="1358" w:type="dxa"/>
            <w:hideMark/>
          </w:tcPr>
          <w:p w:rsidR="00355749" w:rsidRDefault="00355749" w:rsidP="0001665E">
            <w:pPr>
              <w:pStyle w:val="NormalWeb"/>
              <w:jc w:val="center"/>
            </w:pPr>
            <w:r>
              <w:t>172</w:t>
            </w:r>
          </w:p>
        </w:tc>
        <w:tc>
          <w:tcPr>
            <w:tcW w:w="1359" w:type="dxa"/>
            <w:hideMark/>
          </w:tcPr>
          <w:p w:rsidR="00355749" w:rsidRDefault="00355749" w:rsidP="0001665E">
            <w:pPr>
              <w:pStyle w:val="NormalWeb"/>
              <w:jc w:val="center"/>
            </w:pPr>
            <w:r>
              <w:t>1,045</w:t>
            </w:r>
          </w:p>
        </w:tc>
        <w:tc>
          <w:tcPr>
            <w:tcW w:w="1358" w:type="dxa"/>
            <w:hideMark/>
          </w:tcPr>
          <w:p w:rsidR="00355749" w:rsidRDefault="00355749" w:rsidP="0001665E">
            <w:pPr>
              <w:pStyle w:val="NormalWeb"/>
              <w:jc w:val="center"/>
            </w:pPr>
            <w:r>
              <w:t>176</w:t>
            </w:r>
          </w:p>
        </w:tc>
        <w:tc>
          <w:tcPr>
            <w:tcW w:w="1358" w:type="dxa"/>
            <w:hideMark/>
          </w:tcPr>
          <w:p w:rsidR="00355749" w:rsidRDefault="00355749" w:rsidP="0001665E">
            <w:pPr>
              <w:pStyle w:val="NormalWeb"/>
              <w:jc w:val="center"/>
            </w:pPr>
            <w:r>
              <w:t>2,212</w:t>
            </w:r>
          </w:p>
        </w:tc>
        <w:tc>
          <w:tcPr>
            <w:tcW w:w="1358" w:type="dxa"/>
            <w:hideMark/>
          </w:tcPr>
          <w:p w:rsidR="00355749" w:rsidRDefault="00355749" w:rsidP="0001665E">
            <w:pPr>
              <w:pStyle w:val="NormalWeb"/>
              <w:jc w:val="center"/>
            </w:pPr>
            <w:r>
              <w:t>49</w:t>
            </w:r>
          </w:p>
        </w:tc>
        <w:tc>
          <w:tcPr>
            <w:tcW w:w="1358" w:type="dxa"/>
            <w:hideMark/>
          </w:tcPr>
          <w:p w:rsidR="00355749" w:rsidRDefault="00355749" w:rsidP="0001665E">
            <w:pPr>
              <w:pStyle w:val="NormalWeb"/>
              <w:jc w:val="center"/>
            </w:pPr>
            <w:r>
              <w:t>573</w:t>
            </w:r>
          </w:p>
        </w:tc>
        <w:tc>
          <w:tcPr>
            <w:tcW w:w="1359" w:type="dxa"/>
            <w:hideMark/>
          </w:tcPr>
          <w:p w:rsidR="00355749" w:rsidRDefault="00355749" w:rsidP="0001665E">
            <w:pPr>
              <w:pStyle w:val="NormalWeb"/>
              <w:jc w:val="center"/>
            </w:pPr>
            <w:r>
              <w:t>7,415</w:t>
            </w:r>
          </w:p>
        </w:tc>
      </w:tr>
      <w:tr w:rsidR="00EC3513" w:rsidRPr="00EC3513" w:rsidTr="00EC3513">
        <w:tc>
          <w:tcPr>
            <w:tcW w:w="1358" w:type="dxa"/>
            <w:shd w:val="clear" w:color="auto" w:fill="808080" w:themeFill="background1" w:themeFillShade="80"/>
            <w:hideMark/>
          </w:tcPr>
          <w:p w:rsidR="00355749" w:rsidRPr="00EC3513" w:rsidRDefault="00355749">
            <w:pPr>
              <w:pStyle w:val="NormalWeb"/>
              <w:rPr>
                <w:b/>
                <w:color w:val="FFFFFF" w:themeColor="background1"/>
              </w:rPr>
            </w:pPr>
            <w:r w:rsidRPr="00EC3513">
              <w:rPr>
                <w:b/>
                <w:color w:val="FFFFFF" w:themeColor="background1"/>
              </w:rPr>
              <w:t>Female</w:t>
            </w:r>
          </w:p>
        </w:tc>
        <w:tc>
          <w:tcPr>
            <w:tcW w:w="1358" w:type="dxa"/>
            <w:shd w:val="clear" w:color="auto" w:fill="808080" w:themeFill="background1" w:themeFillShade="80"/>
            <w:hideMark/>
          </w:tcPr>
          <w:p w:rsidR="00355749" w:rsidRPr="00EC3513" w:rsidRDefault="00355749" w:rsidP="0001665E">
            <w:pPr>
              <w:pStyle w:val="NormalWeb"/>
              <w:jc w:val="center"/>
              <w:rPr>
                <w:b/>
                <w:color w:val="FFFFFF" w:themeColor="background1"/>
              </w:rPr>
            </w:pPr>
            <w:r w:rsidRPr="00EC3513">
              <w:rPr>
                <w:b/>
                <w:color w:val="FFFFFF" w:themeColor="background1"/>
              </w:rPr>
              <w:t>Genital</w:t>
            </w:r>
          </w:p>
        </w:tc>
        <w:tc>
          <w:tcPr>
            <w:tcW w:w="1358" w:type="dxa"/>
            <w:shd w:val="clear" w:color="auto" w:fill="808080" w:themeFill="background1" w:themeFillShade="80"/>
            <w:hideMark/>
          </w:tcPr>
          <w:p w:rsidR="00355749" w:rsidRPr="00EC3513" w:rsidRDefault="00355749" w:rsidP="0001665E">
            <w:pPr>
              <w:pStyle w:val="NormalWeb"/>
              <w:jc w:val="center"/>
              <w:rPr>
                <w:b/>
                <w:color w:val="FFFFFF" w:themeColor="background1"/>
              </w:rPr>
            </w:pPr>
            <w:r w:rsidRPr="00EC3513">
              <w:rPr>
                <w:b/>
                <w:color w:val="FFFFFF" w:themeColor="background1"/>
              </w:rPr>
              <w:t>11</w:t>
            </w:r>
          </w:p>
        </w:tc>
        <w:tc>
          <w:tcPr>
            <w:tcW w:w="1358" w:type="dxa"/>
            <w:shd w:val="clear" w:color="auto" w:fill="808080" w:themeFill="background1" w:themeFillShade="80"/>
            <w:hideMark/>
          </w:tcPr>
          <w:p w:rsidR="00355749" w:rsidRPr="00EC3513" w:rsidRDefault="00355749" w:rsidP="0001665E">
            <w:pPr>
              <w:pStyle w:val="NormalWeb"/>
              <w:jc w:val="center"/>
              <w:rPr>
                <w:b/>
                <w:color w:val="FFFFFF" w:themeColor="background1"/>
              </w:rPr>
            </w:pPr>
            <w:r w:rsidRPr="00EC3513">
              <w:rPr>
                <w:b/>
                <w:color w:val="FFFFFF" w:themeColor="background1"/>
              </w:rPr>
              <w:t>378</w:t>
            </w:r>
          </w:p>
        </w:tc>
        <w:tc>
          <w:tcPr>
            <w:tcW w:w="1358" w:type="dxa"/>
            <w:shd w:val="clear" w:color="auto" w:fill="808080" w:themeFill="background1" w:themeFillShade="80"/>
            <w:hideMark/>
          </w:tcPr>
          <w:p w:rsidR="00355749" w:rsidRPr="00EC3513" w:rsidRDefault="00355749" w:rsidP="0001665E">
            <w:pPr>
              <w:pStyle w:val="NormalWeb"/>
              <w:jc w:val="center"/>
              <w:rPr>
                <w:b/>
                <w:color w:val="FFFFFF" w:themeColor="background1"/>
              </w:rPr>
            </w:pPr>
            <w:r w:rsidRPr="00EC3513">
              <w:rPr>
                <w:b/>
                <w:color w:val="FFFFFF" w:themeColor="background1"/>
              </w:rPr>
              <w:t>52</w:t>
            </w:r>
          </w:p>
        </w:tc>
        <w:tc>
          <w:tcPr>
            <w:tcW w:w="1359" w:type="dxa"/>
            <w:shd w:val="clear" w:color="auto" w:fill="808080" w:themeFill="background1" w:themeFillShade="80"/>
            <w:hideMark/>
          </w:tcPr>
          <w:p w:rsidR="00355749" w:rsidRPr="00EC3513" w:rsidRDefault="00355749" w:rsidP="0001665E">
            <w:pPr>
              <w:pStyle w:val="NormalWeb"/>
              <w:jc w:val="center"/>
              <w:rPr>
                <w:b/>
                <w:color w:val="FFFFFF" w:themeColor="background1"/>
              </w:rPr>
            </w:pPr>
            <w:r w:rsidRPr="00EC3513">
              <w:rPr>
                <w:b/>
                <w:color w:val="FFFFFF" w:themeColor="background1"/>
              </w:rPr>
              <w:t>302</w:t>
            </w:r>
          </w:p>
        </w:tc>
        <w:tc>
          <w:tcPr>
            <w:tcW w:w="1358" w:type="dxa"/>
            <w:shd w:val="clear" w:color="auto" w:fill="808080" w:themeFill="background1" w:themeFillShade="80"/>
            <w:hideMark/>
          </w:tcPr>
          <w:p w:rsidR="00355749" w:rsidRPr="00EC3513" w:rsidRDefault="00355749" w:rsidP="0001665E">
            <w:pPr>
              <w:pStyle w:val="NormalWeb"/>
              <w:jc w:val="center"/>
              <w:rPr>
                <w:b/>
                <w:color w:val="FFFFFF" w:themeColor="background1"/>
              </w:rPr>
            </w:pPr>
            <w:r w:rsidRPr="00EC3513">
              <w:rPr>
                <w:b/>
                <w:color w:val="FFFFFF" w:themeColor="background1"/>
              </w:rPr>
              <w:t>43</w:t>
            </w:r>
          </w:p>
        </w:tc>
        <w:tc>
          <w:tcPr>
            <w:tcW w:w="1358" w:type="dxa"/>
            <w:shd w:val="clear" w:color="auto" w:fill="808080" w:themeFill="background1" w:themeFillShade="80"/>
            <w:hideMark/>
          </w:tcPr>
          <w:p w:rsidR="00355749" w:rsidRPr="00EC3513" w:rsidRDefault="00355749" w:rsidP="0001665E">
            <w:pPr>
              <w:pStyle w:val="NormalWeb"/>
              <w:jc w:val="center"/>
              <w:rPr>
                <w:b/>
                <w:color w:val="FFFFFF" w:themeColor="background1"/>
              </w:rPr>
            </w:pPr>
            <w:r w:rsidRPr="00EC3513">
              <w:rPr>
                <w:b/>
                <w:color w:val="FFFFFF" w:themeColor="background1"/>
              </w:rPr>
              <w:t>299</w:t>
            </w:r>
          </w:p>
        </w:tc>
        <w:tc>
          <w:tcPr>
            <w:tcW w:w="1358" w:type="dxa"/>
            <w:shd w:val="clear" w:color="auto" w:fill="808080" w:themeFill="background1" w:themeFillShade="80"/>
            <w:hideMark/>
          </w:tcPr>
          <w:p w:rsidR="00355749" w:rsidRPr="00EC3513" w:rsidRDefault="00355749" w:rsidP="0001665E">
            <w:pPr>
              <w:pStyle w:val="NormalWeb"/>
              <w:jc w:val="center"/>
              <w:rPr>
                <w:b/>
                <w:color w:val="FFFFFF" w:themeColor="background1"/>
              </w:rPr>
            </w:pPr>
            <w:r w:rsidRPr="00EC3513">
              <w:rPr>
                <w:b/>
                <w:color w:val="FFFFFF" w:themeColor="background1"/>
              </w:rPr>
              <w:t>3</w:t>
            </w:r>
          </w:p>
        </w:tc>
        <w:tc>
          <w:tcPr>
            <w:tcW w:w="1358" w:type="dxa"/>
            <w:shd w:val="clear" w:color="auto" w:fill="808080" w:themeFill="background1" w:themeFillShade="80"/>
            <w:hideMark/>
          </w:tcPr>
          <w:p w:rsidR="00355749" w:rsidRPr="00EC3513" w:rsidRDefault="00355749" w:rsidP="0001665E">
            <w:pPr>
              <w:pStyle w:val="NormalWeb"/>
              <w:jc w:val="center"/>
              <w:rPr>
                <w:b/>
                <w:color w:val="FFFFFF" w:themeColor="background1"/>
              </w:rPr>
            </w:pPr>
            <w:r w:rsidRPr="00EC3513">
              <w:rPr>
                <w:b/>
                <w:color w:val="FFFFFF" w:themeColor="background1"/>
              </w:rPr>
              <w:t>179</w:t>
            </w:r>
          </w:p>
        </w:tc>
        <w:tc>
          <w:tcPr>
            <w:tcW w:w="1359" w:type="dxa"/>
            <w:shd w:val="clear" w:color="auto" w:fill="808080" w:themeFill="background1" w:themeFillShade="80"/>
            <w:hideMark/>
          </w:tcPr>
          <w:p w:rsidR="00355749" w:rsidRPr="00EC3513" w:rsidRDefault="00355749" w:rsidP="0001665E">
            <w:pPr>
              <w:pStyle w:val="NormalWeb"/>
              <w:jc w:val="center"/>
              <w:rPr>
                <w:b/>
                <w:color w:val="FFFFFF" w:themeColor="background1"/>
              </w:rPr>
            </w:pPr>
            <w:r w:rsidRPr="00EC3513">
              <w:rPr>
                <w:b/>
                <w:color w:val="FFFFFF" w:themeColor="background1"/>
              </w:rPr>
              <w:t>1,267</w:t>
            </w:r>
          </w:p>
        </w:tc>
      </w:tr>
      <w:tr w:rsidR="0001665E" w:rsidTr="0001665E">
        <w:trPr>
          <w:cnfStyle w:val="000000010000" w:firstRow="0" w:lastRow="0" w:firstColumn="0" w:lastColumn="0" w:oddVBand="0" w:evenVBand="0" w:oddHBand="0" w:evenHBand="1" w:firstRowFirstColumn="0" w:firstRowLastColumn="0" w:lastRowFirstColumn="0" w:lastRowLastColumn="0"/>
        </w:trPr>
        <w:tc>
          <w:tcPr>
            <w:tcW w:w="1358" w:type="dxa"/>
            <w:hideMark/>
          </w:tcPr>
          <w:p w:rsidR="00355749" w:rsidRDefault="00355749"/>
        </w:tc>
        <w:tc>
          <w:tcPr>
            <w:tcW w:w="1358" w:type="dxa"/>
            <w:hideMark/>
          </w:tcPr>
          <w:p w:rsidR="00355749" w:rsidRDefault="00355749" w:rsidP="0001665E">
            <w:pPr>
              <w:pStyle w:val="NormalWeb"/>
              <w:jc w:val="center"/>
              <w:rPr>
                <w:sz w:val="24"/>
                <w:szCs w:val="24"/>
              </w:rPr>
            </w:pPr>
            <w:r>
              <w:t>Rectal</w:t>
            </w:r>
          </w:p>
        </w:tc>
        <w:tc>
          <w:tcPr>
            <w:tcW w:w="1358" w:type="dxa"/>
            <w:hideMark/>
          </w:tcPr>
          <w:p w:rsidR="00355749" w:rsidRDefault="00355749" w:rsidP="0001665E">
            <w:pPr>
              <w:pStyle w:val="NormalWeb"/>
              <w:jc w:val="center"/>
            </w:pPr>
            <w:r>
              <w:t>0</w:t>
            </w:r>
          </w:p>
        </w:tc>
        <w:tc>
          <w:tcPr>
            <w:tcW w:w="1358" w:type="dxa"/>
            <w:hideMark/>
          </w:tcPr>
          <w:p w:rsidR="00355749" w:rsidRDefault="00355749" w:rsidP="0001665E">
            <w:pPr>
              <w:pStyle w:val="NormalWeb"/>
              <w:jc w:val="center"/>
            </w:pPr>
            <w:r>
              <w:t>14</w:t>
            </w:r>
          </w:p>
        </w:tc>
        <w:tc>
          <w:tcPr>
            <w:tcW w:w="1358" w:type="dxa"/>
            <w:hideMark/>
          </w:tcPr>
          <w:p w:rsidR="00355749" w:rsidRDefault="00355749" w:rsidP="0001665E">
            <w:pPr>
              <w:pStyle w:val="NormalWeb"/>
              <w:jc w:val="center"/>
            </w:pPr>
            <w:r>
              <w:t>0</w:t>
            </w:r>
          </w:p>
        </w:tc>
        <w:tc>
          <w:tcPr>
            <w:tcW w:w="1359" w:type="dxa"/>
            <w:hideMark/>
          </w:tcPr>
          <w:p w:rsidR="00355749" w:rsidRDefault="00355749" w:rsidP="0001665E">
            <w:pPr>
              <w:pStyle w:val="NormalWeb"/>
              <w:jc w:val="center"/>
            </w:pPr>
            <w:r>
              <w:t>7</w:t>
            </w:r>
          </w:p>
        </w:tc>
        <w:tc>
          <w:tcPr>
            <w:tcW w:w="1358" w:type="dxa"/>
            <w:hideMark/>
          </w:tcPr>
          <w:p w:rsidR="00355749" w:rsidRDefault="00355749" w:rsidP="0001665E">
            <w:pPr>
              <w:pStyle w:val="NormalWeb"/>
              <w:jc w:val="center"/>
            </w:pPr>
            <w:r>
              <w:t>3</w:t>
            </w:r>
          </w:p>
        </w:tc>
        <w:tc>
          <w:tcPr>
            <w:tcW w:w="1358" w:type="dxa"/>
            <w:hideMark/>
          </w:tcPr>
          <w:p w:rsidR="00355749" w:rsidRDefault="00355749" w:rsidP="0001665E">
            <w:pPr>
              <w:pStyle w:val="NormalWeb"/>
              <w:jc w:val="center"/>
            </w:pPr>
            <w:r>
              <w:t>7</w:t>
            </w:r>
          </w:p>
        </w:tc>
        <w:tc>
          <w:tcPr>
            <w:tcW w:w="1358" w:type="dxa"/>
            <w:hideMark/>
          </w:tcPr>
          <w:p w:rsidR="00355749" w:rsidRDefault="00355749" w:rsidP="0001665E">
            <w:pPr>
              <w:pStyle w:val="NormalWeb"/>
              <w:jc w:val="center"/>
            </w:pPr>
            <w:r>
              <w:t>0</w:t>
            </w:r>
          </w:p>
        </w:tc>
        <w:tc>
          <w:tcPr>
            <w:tcW w:w="1358" w:type="dxa"/>
            <w:hideMark/>
          </w:tcPr>
          <w:p w:rsidR="00355749" w:rsidRDefault="00355749" w:rsidP="0001665E">
            <w:pPr>
              <w:pStyle w:val="NormalWeb"/>
              <w:jc w:val="center"/>
            </w:pPr>
            <w:r>
              <w:t>1</w:t>
            </w:r>
          </w:p>
        </w:tc>
        <w:tc>
          <w:tcPr>
            <w:tcW w:w="1359" w:type="dxa"/>
            <w:hideMark/>
          </w:tcPr>
          <w:p w:rsidR="00355749" w:rsidRDefault="00355749" w:rsidP="0001665E">
            <w:pPr>
              <w:pStyle w:val="NormalWeb"/>
              <w:jc w:val="center"/>
            </w:pPr>
            <w:r>
              <w:t>32</w:t>
            </w:r>
          </w:p>
        </w:tc>
      </w:tr>
      <w:tr w:rsidR="00355749" w:rsidTr="0001665E">
        <w:tc>
          <w:tcPr>
            <w:tcW w:w="1358" w:type="dxa"/>
            <w:hideMark/>
          </w:tcPr>
          <w:p w:rsidR="00355749" w:rsidRDefault="00355749"/>
        </w:tc>
        <w:tc>
          <w:tcPr>
            <w:tcW w:w="1358" w:type="dxa"/>
            <w:hideMark/>
          </w:tcPr>
          <w:p w:rsidR="00355749" w:rsidRDefault="00355749" w:rsidP="0001665E">
            <w:pPr>
              <w:pStyle w:val="NormalWeb"/>
              <w:jc w:val="center"/>
              <w:rPr>
                <w:sz w:val="24"/>
                <w:szCs w:val="24"/>
              </w:rPr>
            </w:pPr>
            <w:r>
              <w:t>Pharynx</w:t>
            </w:r>
          </w:p>
        </w:tc>
        <w:tc>
          <w:tcPr>
            <w:tcW w:w="1358" w:type="dxa"/>
            <w:hideMark/>
          </w:tcPr>
          <w:p w:rsidR="00355749" w:rsidRDefault="00355749" w:rsidP="0001665E">
            <w:pPr>
              <w:pStyle w:val="NormalWeb"/>
              <w:jc w:val="center"/>
            </w:pPr>
            <w:r>
              <w:t>8</w:t>
            </w:r>
          </w:p>
        </w:tc>
        <w:tc>
          <w:tcPr>
            <w:tcW w:w="1358" w:type="dxa"/>
            <w:hideMark/>
          </w:tcPr>
          <w:p w:rsidR="00355749" w:rsidRDefault="00355749" w:rsidP="0001665E">
            <w:pPr>
              <w:pStyle w:val="NormalWeb"/>
              <w:jc w:val="center"/>
            </w:pPr>
            <w:r>
              <w:t>105</w:t>
            </w:r>
          </w:p>
        </w:tc>
        <w:tc>
          <w:tcPr>
            <w:tcW w:w="1358" w:type="dxa"/>
            <w:hideMark/>
          </w:tcPr>
          <w:p w:rsidR="00355749" w:rsidRDefault="00355749" w:rsidP="0001665E">
            <w:pPr>
              <w:pStyle w:val="NormalWeb"/>
              <w:jc w:val="center"/>
            </w:pPr>
            <w:r>
              <w:t>0</w:t>
            </w:r>
          </w:p>
        </w:tc>
        <w:tc>
          <w:tcPr>
            <w:tcW w:w="1359" w:type="dxa"/>
            <w:hideMark/>
          </w:tcPr>
          <w:p w:rsidR="00355749" w:rsidRDefault="00355749" w:rsidP="0001665E">
            <w:pPr>
              <w:pStyle w:val="NormalWeb"/>
              <w:jc w:val="center"/>
            </w:pPr>
            <w:r>
              <w:t>10</w:t>
            </w:r>
          </w:p>
        </w:tc>
        <w:tc>
          <w:tcPr>
            <w:tcW w:w="1358" w:type="dxa"/>
            <w:hideMark/>
          </w:tcPr>
          <w:p w:rsidR="00355749" w:rsidRDefault="00355749" w:rsidP="0001665E">
            <w:pPr>
              <w:pStyle w:val="NormalWeb"/>
              <w:jc w:val="center"/>
            </w:pPr>
            <w:r>
              <w:t>1</w:t>
            </w:r>
          </w:p>
        </w:tc>
        <w:tc>
          <w:tcPr>
            <w:tcW w:w="1358" w:type="dxa"/>
            <w:hideMark/>
          </w:tcPr>
          <w:p w:rsidR="00355749" w:rsidRDefault="00355749" w:rsidP="0001665E">
            <w:pPr>
              <w:pStyle w:val="NormalWeb"/>
              <w:jc w:val="center"/>
            </w:pPr>
            <w:r>
              <w:t>72</w:t>
            </w:r>
          </w:p>
        </w:tc>
        <w:tc>
          <w:tcPr>
            <w:tcW w:w="1358" w:type="dxa"/>
            <w:hideMark/>
          </w:tcPr>
          <w:p w:rsidR="00355749" w:rsidRDefault="00355749" w:rsidP="0001665E">
            <w:pPr>
              <w:pStyle w:val="NormalWeb"/>
              <w:jc w:val="center"/>
            </w:pPr>
            <w:r>
              <w:t>2</w:t>
            </w:r>
          </w:p>
        </w:tc>
        <w:tc>
          <w:tcPr>
            <w:tcW w:w="1358" w:type="dxa"/>
            <w:hideMark/>
          </w:tcPr>
          <w:p w:rsidR="00355749" w:rsidRDefault="00355749" w:rsidP="0001665E">
            <w:pPr>
              <w:pStyle w:val="NormalWeb"/>
              <w:jc w:val="center"/>
            </w:pPr>
            <w:r>
              <w:t>2</w:t>
            </w:r>
          </w:p>
        </w:tc>
        <w:tc>
          <w:tcPr>
            <w:tcW w:w="1359" w:type="dxa"/>
            <w:hideMark/>
          </w:tcPr>
          <w:p w:rsidR="00355749" w:rsidRDefault="00355749" w:rsidP="0001665E">
            <w:pPr>
              <w:pStyle w:val="NormalWeb"/>
              <w:jc w:val="center"/>
            </w:pPr>
            <w:r>
              <w:t>200</w:t>
            </w:r>
          </w:p>
        </w:tc>
      </w:tr>
      <w:tr w:rsidR="0001665E" w:rsidTr="0001665E">
        <w:trPr>
          <w:cnfStyle w:val="000000010000" w:firstRow="0" w:lastRow="0" w:firstColumn="0" w:lastColumn="0" w:oddVBand="0" w:evenVBand="0" w:oddHBand="0" w:evenHBand="1" w:firstRowFirstColumn="0" w:firstRowLastColumn="0" w:lastRowFirstColumn="0" w:lastRowLastColumn="0"/>
        </w:trPr>
        <w:tc>
          <w:tcPr>
            <w:tcW w:w="1358" w:type="dxa"/>
            <w:hideMark/>
          </w:tcPr>
          <w:p w:rsidR="00355749" w:rsidRDefault="00355749"/>
        </w:tc>
        <w:tc>
          <w:tcPr>
            <w:tcW w:w="1358" w:type="dxa"/>
            <w:hideMark/>
          </w:tcPr>
          <w:p w:rsidR="00355749" w:rsidRDefault="00355749" w:rsidP="0001665E">
            <w:pPr>
              <w:pStyle w:val="NormalWeb"/>
              <w:jc w:val="center"/>
              <w:rPr>
                <w:sz w:val="24"/>
                <w:szCs w:val="24"/>
              </w:rPr>
            </w:pPr>
            <w:proofErr w:type="spellStart"/>
            <w:r>
              <w:t>DGI</w:t>
            </w:r>
            <w:r w:rsidRPr="008078EA">
              <w:rPr>
                <w:vertAlign w:val="superscript"/>
              </w:rPr>
              <w:t>a</w:t>
            </w:r>
            <w:proofErr w:type="spellEnd"/>
          </w:p>
        </w:tc>
        <w:tc>
          <w:tcPr>
            <w:tcW w:w="1358" w:type="dxa"/>
            <w:hideMark/>
          </w:tcPr>
          <w:p w:rsidR="00355749" w:rsidRDefault="00355749" w:rsidP="0001665E">
            <w:pPr>
              <w:pStyle w:val="NormalWeb"/>
              <w:jc w:val="center"/>
            </w:pPr>
            <w:r>
              <w:t>0</w:t>
            </w:r>
          </w:p>
        </w:tc>
        <w:tc>
          <w:tcPr>
            <w:tcW w:w="1358" w:type="dxa"/>
            <w:hideMark/>
          </w:tcPr>
          <w:p w:rsidR="00355749" w:rsidRDefault="00355749" w:rsidP="0001665E">
            <w:pPr>
              <w:pStyle w:val="NormalWeb"/>
              <w:jc w:val="center"/>
            </w:pPr>
            <w:r>
              <w:t>2</w:t>
            </w:r>
          </w:p>
        </w:tc>
        <w:tc>
          <w:tcPr>
            <w:tcW w:w="1358" w:type="dxa"/>
            <w:hideMark/>
          </w:tcPr>
          <w:p w:rsidR="00355749" w:rsidRDefault="00355749" w:rsidP="0001665E">
            <w:pPr>
              <w:pStyle w:val="NormalWeb"/>
              <w:jc w:val="center"/>
            </w:pPr>
            <w:r>
              <w:t>0</w:t>
            </w:r>
          </w:p>
        </w:tc>
        <w:tc>
          <w:tcPr>
            <w:tcW w:w="1359" w:type="dxa"/>
            <w:hideMark/>
          </w:tcPr>
          <w:p w:rsidR="00355749" w:rsidRDefault="00355749" w:rsidP="0001665E">
            <w:pPr>
              <w:pStyle w:val="NormalWeb"/>
              <w:jc w:val="center"/>
            </w:pPr>
            <w:r>
              <w:t>2</w:t>
            </w:r>
          </w:p>
        </w:tc>
        <w:tc>
          <w:tcPr>
            <w:tcW w:w="1358" w:type="dxa"/>
            <w:hideMark/>
          </w:tcPr>
          <w:p w:rsidR="00355749" w:rsidRDefault="00355749" w:rsidP="0001665E">
            <w:pPr>
              <w:pStyle w:val="NormalWeb"/>
              <w:jc w:val="center"/>
            </w:pPr>
            <w:r>
              <w:t>0</w:t>
            </w:r>
          </w:p>
        </w:tc>
        <w:tc>
          <w:tcPr>
            <w:tcW w:w="1358" w:type="dxa"/>
            <w:hideMark/>
          </w:tcPr>
          <w:p w:rsidR="00355749" w:rsidRDefault="00355749" w:rsidP="0001665E">
            <w:pPr>
              <w:pStyle w:val="NormalWeb"/>
              <w:jc w:val="center"/>
            </w:pPr>
            <w:r>
              <w:t>0</w:t>
            </w:r>
          </w:p>
        </w:tc>
        <w:tc>
          <w:tcPr>
            <w:tcW w:w="1358" w:type="dxa"/>
            <w:hideMark/>
          </w:tcPr>
          <w:p w:rsidR="00355749" w:rsidRDefault="00355749" w:rsidP="0001665E">
            <w:pPr>
              <w:pStyle w:val="NormalWeb"/>
              <w:jc w:val="center"/>
            </w:pPr>
            <w:r>
              <w:t>0</w:t>
            </w:r>
          </w:p>
        </w:tc>
        <w:tc>
          <w:tcPr>
            <w:tcW w:w="1358" w:type="dxa"/>
            <w:hideMark/>
          </w:tcPr>
          <w:p w:rsidR="00355749" w:rsidRDefault="00355749" w:rsidP="0001665E">
            <w:pPr>
              <w:pStyle w:val="NormalWeb"/>
              <w:jc w:val="center"/>
            </w:pPr>
            <w:r>
              <w:t>2</w:t>
            </w:r>
          </w:p>
        </w:tc>
        <w:tc>
          <w:tcPr>
            <w:tcW w:w="1359" w:type="dxa"/>
            <w:hideMark/>
          </w:tcPr>
          <w:p w:rsidR="00355749" w:rsidRDefault="00355749" w:rsidP="0001665E">
            <w:pPr>
              <w:pStyle w:val="NormalWeb"/>
              <w:jc w:val="center"/>
            </w:pPr>
            <w:r>
              <w:t>6</w:t>
            </w:r>
          </w:p>
        </w:tc>
      </w:tr>
      <w:tr w:rsidR="00355749" w:rsidTr="0001665E">
        <w:tc>
          <w:tcPr>
            <w:tcW w:w="1358" w:type="dxa"/>
            <w:hideMark/>
          </w:tcPr>
          <w:p w:rsidR="00355749" w:rsidRDefault="00355749"/>
        </w:tc>
        <w:tc>
          <w:tcPr>
            <w:tcW w:w="1358" w:type="dxa"/>
            <w:hideMark/>
          </w:tcPr>
          <w:p w:rsidR="00355749" w:rsidRDefault="00355749" w:rsidP="0001665E">
            <w:pPr>
              <w:pStyle w:val="NormalWeb"/>
              <w:jc w:val="center"/>
              <w:rPr>
                <w:sz w:val="24"/>
                <w:szCs w:val="24"/>
              </w:rPr>
            </w:pPr>
            <w:r>
              <w:t>Other/</w:t>
            </w:r>
            <w:proofErr w:type="spellStart"/>
            <w:r>
              <w:t>NS</w:t>
            </w:r>
            <w:r w:rsidRPr="008078EA">
              <w:rPr>
                <w:vertAlign w:val="superscript"/>
              </w:rPr>
              <w:t>b</w:t>
            </w:r>
            <w:proofErr w:type="spellEnd"/>
          </w:p>
        </w:tc>
        <w:tc>
          <w:tcPr>
            <w:tcW w:w="1358" w:type="dxa"/>
            <w:hideMark/>
          </w:tcPr>
          <w:p w:rsidR="00355749" w:rsidRDefault="00355749" w:rsidP="0001665E">
            <w:pPr>
              <w:pStyle w:val="NormalWeb"/>
              <w:jc w:val="center"/>
            </w:pPr>
            <w:r>
              <w:t>0</w:t>
            </w:r>
          </w:p>
        </w:tc>
        <w:tc>
          <w:tcPr>
            <w:tcW w:w="1358" w:type="dxa"/>
            <w:hideMark/>
          </w:tcPr>
          <w:p w:rsidR="00355749" w:rsidRDefault="00355749" w:rsidP="0001665E">
            <w:pPr>
              <w:pStyle w:val="NormalWeb"/>
              <w:jc w:val="center"/>
            </w:pPr>
            <w:r>
              <w:t>16</w:t>
            </w:r>
          </w:p>
        </w:tc>
        <w:tc>
          <w:tcPr>
            <w:tcW w:w="1358" w:type="dxa"/>
            <w:hideMark/>
          </w:tcPr>
          <w:p w:rsidR="00355749" w:rsidRDefault="00355749" w:rsidP="0001665E">
            <w:pPr>
              <w:pStyle w:val="NormalWeb"/>
              <w:jc w:val="center"/>
            </w:pPr>
            <w:r>
              <w:t>1</w:t>
            </w:r>
          </w:p>
        </w:tc>
        <w:tc>
          <w:tcPr>
            <w:tcW w:w="1359" w:type="dxa"/>
            <w:hideMark/>
          </w:tcPr>
          <w:p w:rsidR="00355749" w:rsidRDefault="00355749" w:rsidP="0001665E">
            <w:pPr>
              <w:pStyle w:val="NormalWeb"/>
              <w:jc w:val="center"/>
            </w:pPr>
            <w:r>
              <w:t>8</w:t>
            </w:r>
          </w:p>
        </w:tc>
        <w:tc>
          <w:tcPr>
            <w:tcW w:w="1358" w:type="dxa"/>
            <w:hideMark/>
          </w:tcPr>
          <w:p w:rsidR="00355749" w:rsidRDefault="00355749" w:rsidP="0001665E">
            <w:pPr>
              <w:pStyle w:val="NormalWeb"/>
              <w:jc w:val="center"/>
            </w:pPr>
            <w:r>
              <w:t>8</w:t>
            </w:r>
          </w:p>
        </w:tc>
        <w:tc>
          <w:tcPr>
            <w:tcW w:w="1358" w:type="dxa"/>
            <w:hideMark/>
          </w:tcPr>
          <w:p w:rsidR="00355749" w:rsidRDefault="00355749" w:rsidP="0001665E">
            <w:pPr>
              <w:pStyle w:val="NormalWeb"/>
              <w:jc w:val="center"/>
            </w:pPr>
            <w:r>
              <w:t>5</w:t>
            </w:r>
          </w:p>
        </w:tc>
        <w:tc>
          <w:tcPr>
            <w:tcW w:w="1358" w:type="dxa"/>
            <w:hideMark/>
          </w:tcPr>
          <w:p w:rsidR="00355749" w:rsidRDefault="00355749" w:rsidP="0001665E">
            <w:pPr>
              <w:pStyle w:val="NormalWeb"/>
              <w:jc w:val="center"/>
            </w:pPr>
            <w:r>
              <w:t>1</w:t>
            </w:r>
          </w:p>
        </w:tc>
        <w:tc>
          <w:tcPr>
            <w:tcW w:w="1358" w:type="dxa"/>
            <w:hideMark/>
          </w:tcPr>
          <w:p w:rsidR="00355749" w:rsidRDefault="00355749" w:rsidP="0001665E">
            <w:pPr>
              <w:pStyle w:val="NormalWeb"/>
              <w:jc w:val="center"/>
            </w:pPr>
            <w:r>
              <w:t>3</w:t>
            </w:r>
          </w:p>
        </w:tc>
        <w:tc>
          <w:tcPr>
            <w:tcW w:w="1359" w:type="dxa"/>
            <w:hideMark/>
          </w:tcPr>
          <w:p w:rsidR="00355749" w:rsidRDefault="00355749" w:rsidP="0001665E">
            <w:pPr>
              <w:pStyle w:val="NormalWeb"/>
              <w:jc w:val="center"/>
            </w:pPr>
            <w:r>
              <w:t>42</w:t>
            </w:r>
          </w:p>
        </w:tc>
      </w:tr>
      <w:tr w:rsidR="0001665E" w:rsidTr="0001665E">
        <w:trPr>
          <w:cnfStyle w:val="000000010000" w:firstRow="0" w:lastRow="0" w:firstColumn="0" w:lastColumn="0" w:oddVBand="0" w:evenVBand="0" w:oddHBand="0" w:evenHBand="1" w:firstRowFirstColumn="0" w:firstRowLastColumn="0" w:lastRowFirstColumn="0" w:lastRowLastColumn="0"/>
        </w:trPr>
        <w:tc>
          <w:tcPr>
            <w:tcW w:w="1358" w:type="dxa"/>
            <w:hideMark/>
          </w:tcPr>
          <w:p w:rsidR="00355749" w:rsidRDefault="00355749"/>
        </w:tc>
        <w:tc>
          <w:tcPr>
            <w:tcW w:w="1358" w:type="dxa"/>
            <w:hideMark/>
          </w:tcPr>
          <w:p w:rsidR="00355749" w:rsidRDefault="00355749" w:rsidP="0001665E">
            <w:pPr>
              <w:pStyle w:val="NormalWeb"/>
              <w:jc w:val="center"/>
              <w:rPr>
                <w:sz w:val="24"/>
                <w:szCs w:val="24"/>
              </w:rPr>
            </w:pPr>
            <w:r>
              <w:t>Total</w:t>
            </w:r>
          </w:p>
        </w:tc>
        <w:tc>
          <w:tcPr>
            <w:tcW w:w="1358" w:type="dxa"/>
            <w:hideMark/>
          </w:tcPr>
          <w:p w:rsidR="00355749" w:rsidRDefault="00355749" w:rsidP="0001665E">
            <w:pPr>
              <w:pStyle w:val="NormalWeb"/>
              <w:jc w:val="center"/>
            </w:pPr>
            <w:r>
              <w:t>19</w:t>
            </w:r>
          </w:p>
        </w:tc>
        <w:tc>
          <w:tcPr>
            <w:tcW w:w="1358" w:type="dxa"/>
            <w:hideMark/>
          </w:tcPr>
          <w:p w:rsidR="00355749" w:rsidRDefault="00355749" w:rsidP="0001665E">
            <w:pPr>
              <w:pStyle w:val="NormalWeb"/>
              <w:jc w:val="center"/>
            </w:pPr>
            <w:r>
              <w:t>515</w:t>
            </w:r>
          </w:p>
        </w:tc>
        <w:tc>
          <w:tcPr>
            <w:tcW w:w="1358" w:type="dxa"/>
            <w:hideMark/>
          </w:tcPr>
          <w:p w:rsidR="00355749" w:rsidRDefault="00355749" w:rsidP="0001665E">
            <w:pPr>
              <w:pStyle w:val="NormalWeb"/>
              <w:jc w:val="center"/>
            </w:pPr>
            <w:r>
              <w:t>53</w:t>
            </w:r>
          </w:p>
        </w:tc>
        <w:tc>
          <w:tcPr>
            <w:tcW w:w="1359" w:type="dxa"/>
            <w:hideMark/>
          </w:tcPr>
          <w:p w:rsidR="00355749" w:rsidRDefault="00355749" w:rsidP="0001665E">
            <w:pPr>
              <w:pStyle w:val="NormalWeb"/>
              <w:jc w:val="center"/>
            </w:pPr>
            <w:r>
              <w:t>329</w:t>
            </w:r>
          </w:p>
        </w:tc>
        <w:tc>
          <w:tcPr>
            <w:tcW w:w="1358" w:type="dxa"/>
            <w:hideMark/>
          </w:tcPr>
          <w:p w:rsidR="00355749" w:rsidRDefault="00355749" w:rsidP="0001665E">
            <w:pPr>
              <w:pStyle w:val="NormalWeb"/>
              <w:jc w:val="center"/>
            </w:pPr>
            <w:r>
              <w:t>55</w:t>
            </w:r>
          </w:p>
        </w:tc>
        <w:tc>
          <w:tcPr>
            <w:tcW w:w="1358" w:type="dxa"/>
            <w:hideMark/>
          </w:tcPr>
          <w:p w:rsidR="00355749" w:rsidRDefault="00355749" w:rsidP="0001665E">
            <w:pPr>
              <w:pStyle w:val="NormalWeb"/>
              <w:jc w:val="center"/>
            </w:pPr>
            <w:r>
              <w:t>383</w:t>
            </w:r>
          </w:p>
        </w:tc>
        <w:tc>
          <w:tcPr>
            <w:tcW w:w="1358" w:type="dxa"/>
            <w:hideMark/>
          </w:tcPr>
          <w:p w:rsidR="00355749" w:rsidRDefault="00355749" w:rsidP="0001665E">
            <w:pPr>
              <w:pStyle w:val="NormalWeb"/>
              <w:jc w:val="center"/>
            </w:pPr>
            <w:r>
              <w:t>6</w:t>
            </w:r>
          </w:p>
        </w:tc>
        <w:tc>
          <w:tcPr>
            <w:tcW w:w="1358" w:type="dxa"/>
            <w:hideMark/>
          </w:tcPr>
          <w:p w:rsidR="00355749" w:rsidRDefault="00355749" w:rsidP="0001665E">
            <w:pPr>
              <w:pStyle w:val="NormalWeb"/>
              <w:jc w:val="center"/>
            </w:pPr>
            <w:r>
              <w:t>187</w:t>
            </w:r>
          </w:p>
        </w:tc>
        <w:tc>
          <w:tcPr>
            <w:tcW w:w="1359" w:type="dxa"/>
            <w:hideMark/>
          </w:tcPr>
          <w:p w:rsidR="00355749" w:rsidRDefault="00355749" w:rsidP="0001665E">
            <w:pPr>
              <w:pStyle w:val="NormalWeb"/>
              <w:jc w:val="center"/>
            </w:pPr>
            <w:r>
              <w:t>1,547</w:t>
            </w:r>
          </w:p>
        </w:tc>
      </w:tr>
      <w:tr w:rsidR="00EC3513" w:rsidRPr="00EC3513" w:rsidTr="00EC3513">
        <w:tc>
          <w:tcPr>
            <w:tcW w:w="1358" w:type="dxa"/>
            <w:shd w:val="clear" w:color="auto" w:fill="808080" w:themeFill="background1" w:themeFillShade="80"/>
            <w:hideMark/>
          </w:tcPr>
          <w:p w:rsidR="00355749" w:rsidRPr="00EC3513" w:rsidRDefault="00355749">
            <w:pPr>
              <w:pStyle w:val="NormalWeb"/>
              <w:rPr>
                <w:b/>
                <w:color w:val="FFFFFF" w:themeColor="background1"/>
              </w:rPr>
            </w:pPr>
            <w:r w:rsidRPr="00EC3513">
              <w:rPr>
                <w:b/>
                <w:color w:val="FFFFFF" w:themeColor="background1"/>
              </w:rPr>
              <w:t>Unknown</w:t>
            </w:r>
          </w:p>
        </w:tc>
        <w:tc>
          <w:tcPr>
            <w:tcW w:w="1358" w:type="dxa"/>
            <w:shd w:val="clear" w:color="auto" w:fill="808080" w:themeFill="background1" w:themeFillShade="80"/>
            <w:hideMark/>
          </w:tcPr>
          <w:p w:rsidR="00355749" w:rsidRPr="00EC3513" w:rsidRDefault="00355749" w:rsidP="0001665E">
            <w:pPr>
              <w:pStyle w:val="NormalWeb"/>
              <w:jc w:val="center"/>
              <w:rPr>
                <w:b/>
                <w:color w:val="FFFFFF" w:themeColor="background1"/>
              </w:rPr>
            </w:pPr>
            <w:r w:rsidRPr="00EC3513">
              <w:rPr>
                <w:b/>
                <w:color w:val="FFFFFF" w:themeColor="background1"/>
              </w:rPr>
              <w:t>Total</w:t>
            </w:r>
          </w:p>
        </w:tc>
        <w:tc>
          <w:tcPr>
            <w:tcW w:w="1358" w:type="dxa"/>
            <w:shd w:val="clear" w:color="auto" w:fill="808080" w:themeFill="background1" w:themeFillShade="80"/>
            <w:hideMark/>
          </w:tcPr>
          <w:p w:rsidR="00355749" w:rsidRPr="00EC3513" w:rsidRDefault="00355749" w:rsidP="0001665E">
            <w:pPr>
              <w:pStyle w:val="NormalWeb"/>
              <w:jc w:val="center"/>
              <w:rPr>
                <w:b/>
                <w:color w:val="FFFFFF" w:themeColor="background1"/>
              </w:rPr>
            </w:pPr>
            <w:r w:rsidRPr="00EC3513">
              <w:rPr>
                <w:b/>
                <w:color w:val="FFFFFF" w:themeColor="background1"/>
              </w:rPr>
              <w:t>0</w:t>
            </w:r>
          </w:p>
        </w:tc>
        <w:tc>
          <w:tcPr>
            <w:tcW w:w="1358" w:type="dxa"/>
            <w:shd w:val="clear" w:color="auto" w:fill="808080" w:themeFill="background1" w:themeFillShade="80"/>
            <w:hideMark/>
          </w:tcPr>
          <w:p w:rsidR="00355749" w:rsidRPr="00EC3513" w:rsidRDefault="00355749" w:rsidP="0001665E">
            <w:pPr>
              <w:pStyle w:val="NormalWeb"/>
              <w:jc w:val="center"/>
              <w:rPr>
                <w:b/>
                <w:color w:val="FFFFFF" w:themeColor="background1"/>
              </w:rPr>
            </w:pPr>
            <w:r w:rsidRPr="00EC3513">
              <w:rPr>
                <w:b/>
                <w:color w:val="FFFFFF" w:themeColor="background1"/>
              </w:rPr>
              <w:t>19</w:t>
            </w:r>
          </w:p>
        </w:tc>
        <w:tc>
          <w:tcPr>
            <w:tcW w:w="1358" w:type="dxa"/>
            <w:shd w:val="clear" w:color="auto" w:fill="808080" w:themeFill="background1" w:themeFillShade="80"/>
            <w:hideMark/>
          </w:tcPr>
          <w:p w:rsidR="00355749" w:rsidRPr="00EC3513" w:rsidRDefault="00355749" w:rsidP="0001665E">
            <w:pPr>
              <w:pStyle w:val="NormalWeb"/>
              <w:jc w:val="center"/>
              <w:rPr>
                <w:b/>
                <w:color w:val="FFFFFF" w:themeColor="background1"/>
              </w:rPr>
            </w:pPr>
            <w:r w:rsidRPr="00EC3513">
              <w:rPr>
                <w:b/>
                <w:color w:val="FFFFFF" w:themeColor="background1"/>
              </w:rPr>
              <w:t>0</w:t>
            </w:r>
          </w:p>
        </w:tc>
        <w:tc>
          <w:tcPr>
            <w:tcW w:w="1359" w:type="dxa"/>
            <w:shd w:val="clear" w:color="auto" w:fill="808080" w:themeFill="background1" w:themeFillShade="80"/>
            <w:hideMark/>
          </w:tcPr>
          <w:p w:rsidR="00355749" w:rsidRPr="00EC3513" w:rsidRDefault="00355749" w:rsidP="0001665E">
            <w:pPr>
              <w:pStyle w:val="NormalWeb"/>
              <w:jc w:val="center"/>
              <w:rPr>
                <w:b/>
                <w:color w:val="FFFFFF" w:themeColor="background1"/>
              </w:rPr>
            </w:pPr>
            <w:r w:rsidRPr="00EC3513">
              <w:rPr>
                <w:b/>
                <w:color w:val="FFFFFF" w:themeColor="background1"/>
              </w:rPr>
              <w:t>1</w:t>
            </w:r>
          </w:p>
        </w:tc>
        <w:tc>
          <w:tcPr>
            <w:tcW w:w="1358" w:type="dxa"/>
            <w:shd w:val="clear" w:color="auto" w:fill="808080" w:themeFill="background1" w:themeFillShade="80"/>
            <w:hideMark/>
          </w:tcPr>
          <w:p w:rsidR="00355749" w:rsidRPr="00EC3513" w:rsidRDefault="00355749" w:rsidP="0001665E">
            <w:pPr>
              <w:pStyle w:val="NormalWeb"/>
              <w:jc w:val="center"/>
              <w:rPr>
                <w:b/>
                <w:color w:val="FFFFFF" w:themeColor="background1"/>
              </w:rPr>
            </w:pPr>
            <w:r w:rsidRPr="00EC3513">
              <w:rPr>
                <w:b/>
                <w:color w:val="FFFFFF" w:themeColor="background1"/>
              </w:rPr>
              <w:t>0</w:t>
            </w:r>
          </w:p>
        </w:tc>
        <w:tc>
          <w:tcPr>
            <w:tcW w:w="1358" w:type="dxa"/>
            <w:shd w:val="clear" w:color="auto" w:fill="808080" w:themeFill="background1" w:themeFillShade="80"/>
            <w:hideMark/>
          </w:tcPr>
          <w:p w:rsidR="00355749" w:rsidRPr="00EC3513" w:rsidRDefault="00355749" w:rsidP="0001665E">
            <w:pPr>
              <w:pStyle w:val="NormalWeb"/>
              <w:jc w:val="center"/>
              <w:rPr>
                <w:b/>
                <w:color w:val="FFFFFF" w:themeColor="background1"/>
              </w:rPr>
            </w:pPr>
            <w:r w:rsidRPr="00EC3513">
              <w:rPr>
                <w:b/>
                <w:color w:val="FFFFFF" w:themeColor="background1"/>
              </w:rPr>
              <w:t>24</w:t>
            </w:r>
          </w:p>
        </w:tc>
        <w:tc>
          <w:tcPr>
            <w:tcW w:w="1358" w:type="dxa"/>
            <w:shd w:val="clear" w:color="auto" w:fill="808080" w:themeFill="background1" w:themeFillShade="80"/>
            <w:hideMark/>
          </w:tcPr>
          <w:p w:rsidR="00355749" w:rsidRPr="00EC3513" w:rsidRDefault="00355749" w:rsidP="0001665E">
            <w:pPr>
              <w:pStyle w:val="NormalWeb"/>
              <w:jc w:val="center"/>
              <w:rPr>
                <w:b/>
                <w:color w:val="FFFFFF" w:themeColor="background1"/>
              </w:rPr>
            </w:pPr>
            <w:r w:rsidRPr="00EC3513">
              <w:rPr>
                <w:b/>
                <w:color w:val="FFFFFF" w:themeColor="background1"/>
              </w:rPr>
              <w:t>0</w:t>
            </w:r>
          </w:p>
        </w:tc>
        <w:tc>
          <w:tcPr>
            <w:tcW w:w="1358" w:type="dxa"/>
            <w:shd w:val="clear" w:color="auto" w:fill="808080" w:themeFill="background1" w:themeFillShade="80"/>
            <w:hideMark/>
          </w:tcPr>
          <w:p w:rsidR="00355749" w:rsidRPr="00EC3513" w:rsidRDefault="00355749" w:rsidP="0001665E">
            <w:pPr>
              <w:pStyle w:val="NormalWeb"/>
              <w:jc w:val="center"/>
              <w:rPr>
                <w:b/>
                <w:color w:val="FFFFFF" w:themeColor="background1"/>
              </w:rPr>
            </w:pPr>
            <w:r w:rsidRPr="00EC3513">
              <w:rPr>
                <w:b/>
                <w:color w:val="FFFFFF" w:themeColor="background1"/>
              </w:rPr>
              <w:t>0</w:t>
            </w:r>
          </w:p>
        </w:tc>
        <w:tc>
          <w:tcPr>
            <w:tcW w:w="1359" w:type="dxa"/>
            <w:shd w:val="clear" w:color="auto" w:fill="808080" w:themeFill="background1" w:themeFillShade="80"/>
            <w:hideMark/>
          </w:tcPr>
          <w:p w:rsidR="00355749" w:rsidRPr="00EC3513" w:rsidRDefault="00355749" w:rsidP="0001665E">
            <w:pPr>
              <w:pStyle w:val="NormalWeb"/>
              <w:jc w:val="center"/>
              <w:rPr>
                <w:b/>
                <w:color w:val="FFFFFF" w:themeColor="background1"/>
              </w:rPr>
            </w:pPr>
            <w:r w:rsidRPr="00EC3513">
              <w:rPr>
                <w:b/>
                <w:color w:val="FFFFFF" w:themeColor="background1"/>
              </w:rPr>
              <w:t>44</w:t>
            </w:r>
          </w:p>
        </w:tc>
      </w:tr>
      <w:tr w:rsidR="0001665E" w:rsidTr="0088304B">
        <w:trPr>
          <w:cnfStyle w:val="000000010000" w:firstRow="0" w:lastRow="0" w:firstColumn="0" w:lastColumn="0" w:oddVBand="0" w:evenVBand="0" w:oddHBand="0" w:evenHBand="1" w:firstRowFirstColumn="0" w:firstRowLastColumn="0" w:lastRowFirstColumn="0" w:lastRowLastColumn="0"/>
        </w:trPr>
        <w:tc>
          <w:tcPr>
            <w:tcW w:w="1358" w:type="dxa"/>
            <w:shd w:val="clear" w:color="auto" w:fill="FDE9D9" w:themeFill="accent6" w:themeFillTint="33"/>
            <w:hideMark/>
          </w:tcPr>
          <w:p w:rsidR="00355749" w:rsidRDefault="00355749">
            <w:pPr>
              <w:pStyle w:val="NormalWeb"/>
            </w:pPr>
            <w:r>
              <w:t>Total</w:t>
            </w:r>
          </w:p>
        </w:tc>
        <w:tc>
          <w:tcPr>
            <w:tcW w:w="1358" w:type="dxa"/>
            <w:shd w:val="clear" w:color="auto" w:fill="FDE9D9" w:themeFill="accent6" w:themeFillTint="33"/>
            <w:hideMark/>
          </w:tcPr>
          <w:p w:rsidR="00355749" w:rsidRDefault="00355749" w:rsidP="0001665E">
            <w:pPr>
              <w:jc w:val="center"/>
            </w:pPr>
          </w:p>
        </w:tc>
        <w:tc>
          <w:tcPr>
            <w:tcW w:w="1358" w:type="dxa"/>
            <w:shd w:val="clear" w:color="auto" w:fill="FDE9D9" w:themeFill="accent6" w:themeFillTint="33"/>
            <w:hideMark/>
          </w:tcPr>
          <w:p w:rsidR="00355749" w:rsidRDefault="00355749" w:rsidP="0001665E">
            <w:pPr>
              <w:pStyle w:val="NormalWeb"/>
              <w:jc w:val="center"/>
              <w:rPr>
                <w:sz w:val="24"/>
                <w:szCs w:val="24"/>
              </w:rPr>
            </w:pPr>
            <w:r>
              <w:t>206</w:t>
            </w:r>
          </w:p>
        </w:tc>
        <w:tc>
          <w:tcPr>
            <w:tcW w:w="1358" w:type="dxa"/>
            <w:shd w:val="clear" w:color="auto" w:fill="FDE9D9" w:themeFill="accent6" w:themeFillTint="33"/>
            <w:hideMark/>
          </w:tcPr>
          <w:p w:rsidR="00355749" w:rsidRDefault="00355749" w:rsidP="0001665E">
            <w:pPr>
              <w:pStyle w:val="NormalWeb"/>
              <w:jc w:val="center"/>
            </w:pPr>
            <w:r>
              <w:t>3,535</w:t>
            </w:r>
          </w:p>
        </w:tc>
        <w:tc>
          <w:tcPr>
            <w:tcW w:w="1358" w:type="dxa"/>
            <w:shd w:val="clear" w:color="auto" w:fill="FDE9D9" w:themeFill="accent6" w:themeFillTint="33"/>
            <w:hideMark/>
          </w:tcPr>
          <w:p w:rsidR="00355749" w:rsidRDefault="00355749" w:rsidP="0001665E">
            <w:pPr>
              <w:pStyle w:val="NormalWeb"/>
              <w:jc w:val="center"/>
            </w:pPr>
            <w:r>
              <w:t>225</w:t>
            </w:r>
          </w:p>
        </w:tc>
        <w:tc>
          <w:tcPr>
            <w:tcW w:w="1359" w:type="dxa"/>
            <w:shd w:val="clear" w:color="auto" w:fill="FDE9D9" w:themeFill="accent6" w:themeFillTint="33"/>
            <w:hideMark/>
          </w:tcPr>
          <w:p w:rsidR="00355749" w:rsidRDefault="00355749" w:rsidP="0001665E">
            <w:pPr>
              <w:pStyle w:val="NormalWeb"/>
              <w:jc w:val="center"/>
            </w:pPr>
            <w:r>
              <w:t>1,375</w:t>
            </w:r>
          </w:p>
        </w:tc>
        <w:tc>
          <w:tcPr>
            <w:tcW w:w="1358" w:type="dxa"/>
            <w:shd w:val="clear" w:color="auto" w:fill="FDE9D9" w:themeFill="accent6" w:themeFillTint="33"/>
            <w:hideMark/>
          </w:tcPr>
          <w:p w:rsidR="00355749" w:rsidRDefault="00355749" w:rsidP="0001665E">
            <w:pPr>
              <w:pStyle w:val="NormalWeb"/>
              <w:jc w:val="center"/>
            </w:pPr>
            <w:r>
              <w:t>231</w:t>
            </w:r>
          </w:p>
        </w:tc>
        <w:tc>
          <w:tcPr>
            <w:tcW w:w="1358" w:type="dxa"/>
            <w:shd w:val="clear" w:color="auto" w:fill="FDE9D9" w:themeFill="accent6" w:themeFillTint="33"/>
            <w:hideMark/>
          </w:tcPr>
          <w:p w:rsidR="00355749" w:rsidRDefault="00355749" w:rsidP="0001665E">
            <w:pPr>
              <w:pStyle w:val="NormalWeb"/>
              <w:jc w:val="center"/>
            </w:pPr>
            <w:r>
              <w:t>2,619</w:t>
            </w:r>
          </w:p>
        </w:tc>
        <w:tc>
          <w:tcPr>
            <w:tcW w:w="1358" w:type="dxa"/>
            <w:shd w:val="clear" w:color="auto" w:fill="FDE9D9" w:themeFill="accent6" w:themeFillTint="33"/>
            <w:hideMark/>
          </w:tcPr>
          <w:p w:rsidR="00355749" w:rsidRDefault="00355749" w:rsidP="0001665E">
            <w:pPr>
              <w:pStyle w:val="NormalWeb"/>
              <w:jc w:val="center"/>
            </w:pPr>
            <w:r>
              <w:t>55</w:t>
            </w:r>
          </w:p>
        </w:tc>
        <w:tc>
          <w:tcPr>
            <w:tcW w:w="1358" w:type="dxa"/>
            <w:shd w:val="clear" w:color="auto" w:fill="FDE9D9" w:themeFill="accent6" w:themeFillTint="33"/>
            <w:hideMark/>
          </w:tcPr>
          <w:p w:rsidR="00355749" w:rsidRDefault="00355749" w:rsidP="0001665E">
            <w:pPr>
              <w:pStyle w:val="NormalWeb"/>
              <w:jc w:val="center"/>
            </w:pPr>
            <w:r>
              <w:t>760</w:t>
            </w:r>
          </w:p>
        </w:tc>
        <w:tc>
          <w:tcPr>
            <w:tcW w:w="1359" w:type="dxa"/>
            <w:shd w:val="clear" w:color="auto" w:fill="FDE9D9" w:themeFill="accent6" w:themeFillTint="33"/>
            <w:hideMark/>
          </w:tcPr>
          <w:p w:rsidR="00355749" w:rsidRDefault="00355749" w:rsidP="0001665E">
            <w:pPr>
              <w:pStyle w:val="NormalWeb"/>
              <w:jc w:val="center"/>
            </w:pPr>
            <w:r>
              <w:t>9,006</w:t>
            </w:r>
          </w:p>
        </w:tc>
      </w:tr>
    </w:tbl>
    <w:p w:rsidR="00355749" w:rsidRPr="0088304B" w:rsidRDefault="00355749" w:rsidP="0088304B">
      <w:pPr>
        <w:pStyle w:val="CDIfootnotes"/>
      </w:pPr>
      <w:proofErr w:type="gramStart"/>
      <w:r w:rsidRPr="0088304B">
        <w:t>a</w:t>
      </w:r>
      <w:proofErr w:type="gramEnd"/>
      <w:r w:rsidRPr="0088304B">
        <w:tab/>
        <w:t>DGI: Disseminated Gonococcal Infection</w:t>
      </w:r>
    </w:p>
    <w:p w:rsidR="00355749" w:rsidRPr="0088304B" w:rsidRDefault="00355749" w:rsidP="0088304B">
      <w:pPr>
        <w:pStyle w:val="CDIfootnotes"/>
      </w:pPr>
      <w:proofErr w:type="gramStart"/>
      <w:r w:rsidRPr="0088304B">
        <w:t>b</w:t>
      </w:r>
      <w:proofErr w:type="gramEnd"/>
      <w:r w:rsidRPr="0088304B">
        <w:tab/>
        <w:t>NS: not specified</w:t>
      </w:r>
    </w:p>
    <w:p w:rsidR="000C0223" w:rsidRDefault="000C0223" w:rsidP="00FC3C3B">
      <w:pPr>
        <w:pStyle w:val="Heading2"/>
        <w:sectPr w:rsidR="000C0223" w:rsidSect="000C0223">
          <w:pgSz w:w="16838" w:h="11906" w:orient="landscape"/>
          <w:pgMar w:top="720" w:right="720" w:bottom="720" w:left="1134" w:header="709" w:footer="284" w:gutter="0"/>
          <w:cols w:space="708"/>
          <w:titlePg/>
          <w:docGrid w:linePitch="360"/>
        </w:sectPr>
      </w:pPr>
    </w:p>
    <w:p w:rsidR="00355749" w:rsidRPr="00805F89" w:rsidRDefault="00355749" w:rsidP="00805F89">
      <w:pPr>
        <w:pStyle w:val="CDIFigures"/>
      </w:pPr>
      <w:r w:rsidRPr="00805F89">
        <w:lastRenderedPageBreak/>
        <w:t>Table 3: Number and proportion (%) of gonococcal isolates with resistance to azithromycin, penicillin and ciprofloxacin and decreased susceptibility to ceftriaxone reported, Australia, 2018, by state or territory</w:t>
      </w:r>
    </w:p>
    <w:tbl>
      <w:tblPr>
        <w:tblStyle w:val="CDI-StandardTable"/>
        <w:tblW w:w="0" w:type="auto"/>
        <w:tblCellMar>
          <w:top w:w="113" w:type="dxa"/>
          <w:left w:w="113" w:type="dxa"/>
          <w:bottom w:w="113" w:type="dxa"/>
          <w:right w:w="113" w:type="dxa"/>
        </w:tblCellMar>
        <w:tblLook w:val="04A0" w:firstRow="1" w:lastRow="0" w:firstColumn="1" w:lastColumn="0" w:noHBand="0" w:noVBand="1"/>
        <w:tblDescription w:val="shows the number and proportion as a percentage of gonococcal isolates with resistance to azithromycin, penicillin and ciprofloxacin and decreased susceptibility to ceftriaxone reported, Australia, 2018, by state or territory. Low rates of antimicrobial resistance were reported from remote Northern Territory and remote Western Australia; overall for the whole of Australia 6.2% of isolates were resistant to azithromycin, 21.1% of isolates were resistant to penicillin; 25.6% of isolates were resistant to ciprofloxacin; and 1.73% of strains had decreased susceptibility to ceftriaxone."/>
      </w:tblPr>
      <w:tblGrid>
        <w:gridCol w:w="1701"/>
        <w:gridCol w:w="1701"/>
        <w:gridCol w:w="1447"/>
        <w:gridCol w:w="1448"/>
        <w:gridCol w:w="1448"/>
        <w:gridCol w:w="1448"/>
        <w:gridCol w:w="1447"/>
        <w:gridCol w:w="1448"/>
        <w:gridCol w:w="1448"/>
        <w:gridCol w:w="1448"/>
      </w:tblGrid>
      <w:tr w:rsidR="008E13C0" w:rsidRPr="008E13C0" w:rsidTr="008078EA">
        <w:trPr>
          <w:cnfStyle w:val="100000000000" w:firstRow="1" w:lastRow="0" w:firstColumn="0" w:lastColumn="0" w:oddVBand="0" w:evenVBand="0" w:oddHBand="0" w:evenHBand="0" w:firstRowFirstColumn="0" w:firstRowLastColumn="0" w:lastRowFirstColumn="0" w:lastRowLastColumn="0"/>
          <w:tblHeader/>
        </w:trPr>
        <w:tc>
          <w:tcPr>
            <w:tcW w:w="1701" w:type="dxa"/>
            <w:vMerge w:val="restart"/>
            <w:tcBorders>
              <w:bottom w:val="single" w:sz="4" w:space="0" w:color="FFFFFF" w:themeColor="background1"/>
              <w:right w:val="single" w:sz="4" w:space="0" w:color="FFFFFF" w:themeColor="background1"/>
            </w:tcBorders>
            <w:hideMark/>
          </w:tcPr>
          <w:p w:rsidR="00355749" w:rsidRPr="008E13C0" w:rsidRDefault="00355749" w:rsidP="00654E41">
            <w:pPr>
              <w:pStyle w:val="NormalWeb"/>
              <w:rPr>
                <w:color w:val="FFFFFF" w:themeColor="background1"/>
              </w:rPr>
            </w:pPr>
            <w:r w:rsidRPr="008E13C0">
              <w:rPr>
                <w:color w:val="FFFFFF" w:themeColor="background1"/>
              </w:rPr>
              <w:t>Jurisdiction</w:t>
            </w:r>
          </w:p>
        </w:tc>
        <w:tc>
          <w:tcPr>
            <w:tcW w:w="1701" w:type="dxa"/>
            <w:vMerge w:val="restart"/>
            <w:tcBorders>
              <w:left w:val="single" w:sz="4" w:space="0" w:color="FFFFFF" w:themeColor="background1"/>
              <w:bottom w:val="single" w:sz="4" w:space="0" w:color="FFFFFF" w:themeColor="background1"/>
              <w:right w:val="single" w:sz="4" w:space="0" w:color="FFFFFF" w:themeColor="background1"/>
            </w:tcBorders>
            <w:hideMark/>
          </w:tcPr>
          <w:p w:rsidR="00355749" w:rsidRPr="008E13C0" w:rsidRDefault="00355749" w:rsidP="00654E41">
            <w:pPr>
              <w:pStyle w:val="NormalWeb"/>
              <w:jc w:val="center"/>
              <w:rPr>
                <w:color w:val="FFFFFF" w:themeColor="background1"/>
              </w:rPr>
            </w:pPr>
            <w:r w:rsidRPr="008E13C0">
              <w:rPr>
                <w:color w:val="FFFFFF" w:themeColor="background1"/>
              </w:rPr>
              <w:t>Number of isolates tested</w:t>
            </w:r>
          </w:p>
          <w:p w:rsidR="00355749" w:rsidRPr="008E13C0" w:rsidRDefault="00355749" w:rsidP="00654E41">
            <w:pPr>
              <w:pStyle w:val="NormalWeb"/>
              <w:jc w:val="center"/>
              <w:rPr>
                <w:color w:val="FFFFFF" w:themeColor="background1"/>
              </w:rPr>
            </w:pPr>
            <w:r w:rsidRPr="008E13C0">
              <w:rPr>
                <w:color w:val="FFFFFF" w:themeColor="background1"/>
              </w:rPr>
              <w:t>2018</w:t>
            </w:r>
          </w:p>
        </w:tc>
        <w:tc>
          <w:tcPr>
            <w:tcW w:w="2895" w:type="dxa"/>
            <w:gridSpan w:val="2"/>
            <w:tcBorders>
              <w:left w:val="single" w:sz="4" w:space="0" w:color="FFFFFF" w:themeColor="background1"/>
              <w:bottom w:val="single" w:sz="4" w:space="0" w:color="FFFFFF" w:themeColor="background1"/>
              <w:right w:val="single" w:sz="4" w:space="0" w:color="FFFFFF" w:themeColor="background1"/>
            </w:tcBorders>
            <w:hideMark/>
          </w:tcPr>
          <w:p w:rsidR="00355749" w:rsidRPr="008E13C0" w:rsidRDefault="00355749" w:rsidP="00654E41">
            <w:pPr>
              <w:pStyle w:val="NormalWeb"/>
              <w:jc w:val="center"/>
              <w:rPr>
                <w:color w:val="FFFFFF" w:themeColor="background1"/>
              </w:rPr>
            </w:pPr>
            <w:r w:rsidRPr="008E13C0">
              <w:rPr>
                <w:color w:val="FFFFFF" w:themeColor="background1"/>
              </w:rPr>
              <w:t>Decreased susceptibility</w:t>
            </w:r>
          </w:p>
        </w:tc>
        <w:tc>
          <w:tcPr>
            <w:tcW w:w="8687" w:type="dxa"/>
            <w:gridSpan w:val="6"/>
            <w:tcBorders>
              <w:left w:val="single" w:sz="4" w:space="0" w:color="FFFFFF" w:themeColor="background1"/>
              <w:bottom w:val="single" w:sz="4" w:space="0" w:color="FFFFFF" w:themeColor="background1"/>
            </w:tcBorders>
            <w:hideMark/>
          </w:tcPr>
          <w:p w:rsidR="00355749" w:rsidRPr="008E13C0" w:rsidRDefault="00355749" w:rsidP="00654E41">
            <w:pPr>
              <w:pStyle w:val="NormalWeb"/>
              <w:jc w:val="center"/>
              <w:rPr>
                <w:color w:val="FFFFFF" w:themeColor="background1"/>
              </w:rPr>
            </w:pPr>
            <w:r w:rsidRPr="008E13C0">
              <w:rPr>
                <w:color w:val="FFFFFF" w:themeColor="background1"/>
              </w:rPr>
              <w:t>Resistance</w:t>
            </w:r>
          </w:p>
        </w:tc>
      </w:tr>
      <w:tr w:rsidR="008E13C0" w:rsidRPr="008E13C0" w:rsidTr="00251EC4">
        <w:trPr>
          <w:cnfStyle w:val="100000000000" w:firstRow="1" w:lastRow="0" w:firstColumn="0" w:lastColumn="0" w:oddVBand="0" w:evenVBand="0" w:oddHBand="0" w:evenHBand="0" w:firstRowFirstColumn="0" w:firstRowLastColumn="0" w:lastRowFirstColumn="0" w:lastRowLastColumn="0"/>
          <w:tblHeader/>
        </w:trPr>
        <w:tc>
          <w:tcPr>
            <w:tcW w:w="1701" w:type="dxa"/>
            <w:vMerge/>
            <w:tcBorders>
              <w:top w:val="single" w:sz="4" w:space="0" w:color="FFFFFF" w:themeColor="background1"/>
              <w:bottom w:val="single" w:sz="4" w:space="0" w:color="FFFFFF" w:themeColor="background1"/>
              <w:right w:val="single" w:sz="4" w:space="0" w:color="FFFFFF" w:themeColor="background1"/>
            </w:tcBorders>
            <w:hideMark/>
          </w:tcPr>
          <w:p w:rsidR="00355749" w:rsidRPr="008E13C0" w:rsidRDefault="00355749">
            <w:pPr>
              <w:rPr>
                <w:color w:val="FFFFFF" w:themeColor="background1"/>
                <w:sz w:val="24"/>
                <w:szCs w:val="24"/>
              </w:rPr>
            </w:pPr>
          </w:p>
        </w:tc>
        <w:tc>
          <w:tcPr>
            <w:tcW w:w="1701"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355749" w:rsidRPr="008E13C0" w:rsidRDefault="00355749" w:rsidP="00654E41">
            <w:pPr>
              <w:jc w:val="center"/>
              <w:rPr>
                <w:color w:val="FFFFFF" w:themeColor="background1"/>
                <w:sz w:val="24"/>
                <w:szCs w:val="24"/>
              </w:rPr>
            </w:pPr>
          </w:p>
        </w:tc>
        <w:tc>
          <w:tcPr>
            <w:tcW w:w="289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355749" w:rsidRPr="008E13C0" w:rsidRDefault="00355749" w:rsidP="00654E41">
            <w:pPr>
              <w:pStyle w:val="NormalWeb"/>
              <w:jc w:val="center"/>
              <w:rPr>
                <w:color w:val="FFFFFF" w:themeColor="background1"/>
              </w:rPr>
            </w:pPr>
            <w:r w:rsidRPr="008E13C0">
              <w:rPr>
                <w:color w:val="FFFFFF" w:themeColor="background1"/>
              </w:rPr>
              <w:t>Ceftriaxone</w:t>
            </w:r>
          </w:p>
        </w:tc>
        <w:tc>
          <w:tcPr>
            <w:tcW w:w="2896"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355749" w:rsidRPr="008E13C0" w:rsidRDefault="00355749" w:rsidP="00654E41">
            <w:pPr>
              <w:pStyle w:val="NormalWeb"/>
              <w:jc w:val="center"/>
              <w:rPr>
                <w:color w:val="FFFFFF" w:themeColor="background1"/>
              </w:rPr>
            </w:pPr>
            <w:r w:rsidRPr="008E13C0">
              <w:rPr>
                <w:color w:val="FFFFFF" w:themeColor="background1"/>
              </w:rPr>
              <w:t>Azithromycin</w:t>
            </w:r>
          </w:p>
        </w:tc>
        <w:tc>
          <w:tcPr>
            <w:tcW w:w="289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355749" w:rsidRPr="008E13C0" w:rsidRDefault="00355749" w:rsidP="00654E41">
            <w:pPr>
              <w:pStyle w:val="NormalWeb"/>
              <w:jc w:val="center"/>
              <w:rPr>
                <w:color w:val="FFFFFF" w:themeColor="background1"/>
              </w:rPr>
            </w:pPr>
            <w:r w:rsidRPr="008E13C0">
              <w:rPr>
                <w:color w:val="FFFFFF" w:themeColor="background1"/>
              </w:rPr>
              <w:t>Penicillin</w:t>
            </w:r>
          </w:p>
        </w:tc>
        <w:tc>
          <w:tcPr>
            <w:tcW w:w="2896" w:type="dxa"/>
            <w:gridSpan w:val="2"/>
            <w:tcBorders>
              <w:top w:val="single" w:sz="4" w:space="0" w:color="FFFFFF" w:themeColor="background1"/>
              <w:left w:val="single" w:sz="4" w:space="0" w:color="FFFFFF" w:themeColor="background1"/>
              <w:bottom w:val="single" w:sz="4" w:space="0" w:color="FFFFFF" w:themeColor="background1"/>
            </w:tcBorders>
            <w:hideMark/>
          </w:tcPr>
          <w:p w:rsidR="00355749" w:rsidRPr="008E13C0" w:rsidRDefault="00355749" w:rsidP="00654E41">
            <w:pPr>
              <w:pStyle w:val="NormalWeb"/>
              <w:jc w:val="center"/>
              <w:rPr>
                <w:color w:val="FFFFFF" w:themeColor="background1"/>
              </w:rPr>
            </w:pPr>
            <w:r w:rsidRPr="008E13C0">
              <w:rPr>
                <w:color w:val="FFFFFF" w:themeColor="background1"/>
              </w:rPr>
              <w:t>Ciprofloxacin</w:t>
            </w:r>
          </w:p>
        </w:tc>
      </w:tr>
      <w:tr w:rsidR="00056CB0" w:rsidRPr="008E13C0" w:rsidTr="00251EC4">
        <w:trPr>
          <w:cnfStyle w:val="100000000000" w:firstRow="1" w:lastRow="0" w:firstColumn="0" w:lastColumn="0" w:oddVBand="0" w:evenVBand="0" w:oddHBand="0" w:evenHBand="0" w:firstRowFirstColumn="0" w:firstRowLastColumn="0" w:lastRowFirstColumn="0" w:lastRowLastColumn="0"/>
          <w:tblHeader/>
        </w:trPr>
        <w:tc>
          <w:tcPr>
            <w:tcW w:w="1701" w:type="dxa"/>
            <w:vMerge/>
            <w:tcBorders>
              <w:top w:val="single" w:sz="4" w:space="0" w:color="FFFFFF" w:themeColor="background1"/>
              <w:right w:val="single" w:sz="4" w:space="0" w:color="FFFFFF" w:themeColor="background1"/>
            </w:tcBorders>
            <w:hideMark/>
          </w:tcPr>
          <w:p w:rsidR="00355749" w:rsidRPr="008E13C0" w:rsidRDefault="00355749">
            <w:pPr>
              <w:rPr>
                <w:color w:val="FFFFFF" w:themeColor="background1"/>
                <w:sz w:val="24"/>
                <w:szCs w:val="24"/>
              </w:rPr>
            </w:pPr>
          </w:p>
        </w:tc>
        <w:tc>
          <w:tcPr>
            <w:tcW w:w="1701" w:type="dxa"/>
            <w:vMerge/>
            <w:tcBorders>
              <w:top w:val="single" w:sz="4" w:space="0" w:color="FFFFFF" w:themeColor="background1"/>
              <w:left w:val="single" w:sz="4" w:space="0" w:color="FFFFFF" w:themeColor="background1"/>
              <w:right w:val="single" w:sz="4" w:space="0" w:color="FFFFFF" w:themeColor="background1"/>
            </w:tcBorders>
            <w:hideMark/>
          </w:tcPr>
          <w:p w:rsidR="00355749" w:rsidRPr="008E13C0" w:rsidRDefault="00355749" w:rsidP="00654E41">
            <w:pPr>
              <w:jc w:val="center"/>
              <w:rPr>
                <w:color w:val="FFFFFF" w:themeColor="background1"/>
                <w:sz w:val="24"/>
                <w:szCs w:val="24"/>
              </w:rPr>
            </w:pPr>
          </w:p>
        </w:tc>
        <w:tc>
          <w:tcPr>
            <w:tcW w:w="1447" w:type="dxa"/>
            <w:tcBorders>
              <w:top w:val="single" w:sz="4" w:space="0" w:color="FFFFFF" w:themeColor="background1"/>
              <w:left w:val="single" w:sz="4" w:space="0" w:color="FFFFFF" w:themeColor="background1"/>
              <w:right w:val="single" w:sz="4" w:space="0" w:color="FFFFFF" w:themeColor="background1"/>
            </w:tcBorders>
            <w:hideMark/>
          </w:tcPr>
          <w:p w:rsidR="00355749" w:rsidRPr="008E13C0" w:rsidRDefault="00355749" w:rsidP="00654E41">
            <w:pPr>
              <w:pStyle w:val="NormalWeb"/>
              <w:jc w:val="center"/>
              <w:rPr>
                <w:color w:val="FFFFFF" w:themeColor="background1"/>
              </w:rPr>
            </w:pPr>
            <w:r w:rsidRPr="008E13C0">
              <w:rPr>
                <w:color w:val="FFFFFF" w:themeColor="background1"/>
              </w:rPr>
              <w:t>n</w:t>
            </w:r>
          </w:p>
        </w:tc>
        <w:tc>
          <w:tcPr>
            <w:tcW w:w="1448" w:type="dxa"/>
            <w:tcBorders>
              <w:top w:val="single" w:sz="4" w:space="0" w:color="FFFFFF" w:themeColor="background1"/>
              <w:left w:val="single" w:sz="4" w:space="0" w:color="FFFFFF" w:themeColor="background1"/>
              <w:right w:val="single" w:sz="4" w:space="0" w:color="FFFFFF" w:themeColor="background1"/>
            </w:tcBorders>
            <w:hideMark/>
          </w:tcPr>
          <w:p w:rsidR="00355749" w:rsidRPr="008E13C0" w:rsidRDefault="00355749" w:rsidP="00654E41">
            <w:pPr>
              <w:pStyle w:val="NormalWeb"/>
              <w:jc w:val="center"/>
              <w:rPr>
                <w:color w:val="FFFFFF" w:themeColor="background1"/>
              </w:rPr>
            </w:pPr>
            <w:r w:rsidRPr="008E13C0">
              <w:rPr>
                <w:color w:val="FFFFFF" w:themeColor="background1"/>
              </w:rPr>
              <w:t>%</w:t>
            </w:r>
          </w:p>
        </w:tc>
        <w:tc>
          <w:tcPr>
            <w:tcW w:w="1448" w:type="dxa"/>
            <w:tcBorders>
              <w:top w:val="single" w:sz="4" w:space="0" w:color="FFFFFF" w:themeColor="background1"/>
              <w:left w:val="single" w:sz="4" w:space="0" w:color="FFFFFF" w:themeColor="background1"/>
              <w:right w:val="single" w:sz="4" w:space="0" w:color="FFFFFF" w:themeColor="background1"/>
            </w:tcBorders>
            <w:hideMark/>
          </w:tcPr>
          <w:p w:rsidR="00355749" w:rsidRPr="008E13C0" w:rsidRDefault="00355749" w:rsidP="00654E41">
            <w:pPr>
              <w:pStyle w:val="NormalWeb"/>
              <w:jc w:val="center"/>
              <w:rPr>
                <w:color w:val="FFFFFF" w:themeColor="background1"/>
              </w:rPr>
            </w:pPr>
            <w:r w:rsidRPr="008E13C0">
              <w:rPr>
                <w:color w:val="FFFFFF" w:themeColor="background1"/>
              </w:rPr>
              <w:t>n</w:t>
            </w:r>
          </w:p>
        </w:tc>
        <w:tc>
          <w:tcPr>
            <w:tcW w:w="1448" w:type="dxa"/>
            <w:tcBorders>
              <w:top w:val="single" w:sz="4" w:space="0" w:color="FFFFFF" w:themeColor="background1"/>
              <w:left w:val="single" w:sz="4" w:space="0" w:color="FFFFFF" w:themeColor="background1"/>
              <w:right w:val="single" w:sz="4" w:space="0" w:color="FFFFFF" w:themeColor="background1"/>
            </w:tcBorders>
            <w:hideMark/>
          </w:tcPr>
          <w:p w:rsidR="00355749" w:rsidRPr="008E13C0" w:rsidRDefault="00355749" w:rsidP="00654E41">
            <w:pPr>
              <w:pStyle w:val="NormalWeb"/>
              <w:jc w:val="center"/>
              <w:rPr>
                <w:color w:val="FFFFFF" w:themeColor="background1"/>
              </w:rPr>
            </w:pPr>
            <w:r w:rsidRPr="008E13C0">
              <w:rPr>
                <w:color w:val="FFFFFF" w:themeColor="background1"/>
              </w:rPr>
              <w:t>%</w:t>
            </w:r>
          </w:p>
        </w:tc>
        <w:tc>
          <w:tcPr>
            <w:tcW w:w="1447" w:type="dxa"/>
            <w:tcBorders>
              <w:top w:val="single" w:sz="4" w:space="0" w:color="FFFFFF" w:themeColor="background1"/>
              <w:left w:val="single" w:sz="4" w:space="0" w:color="FFFFFF" w:themeColor="background1"/>
              <w:right w:val="single" w:sz="4" w:space="0" w:color="FFFFFF" w:themeColor="background1"/>
            </w:tcBorders>
            <w:hideMark/>
          </w:tcPr>
          <w:p w:rsidR="00355749" w:rsidRPr="008E13C0" w:rsidRDefault="00355749" w:rsidP="00654E41">
            <w:pPr>
              <w:pStyle w:val="NormalWeb"/>
              <w:jc w:val="center"/>
              <w:rPr>
                <w:color w:val="FFFFFF" w:themeColor="background1"/>
              </w:rPr>
            </w:pPr>
            <w:r w:rsidRPr="008E13C0">
              <w:rPr>
                <w:color w:val="FFFFFF" w:themeColor="background1"/>
              </w:rPr>
              <w:t>n</w:t>
            </w:r>
          </w:p>
        </w:tc>
        <w:tc>
          <w:tcPr>
            <w:tcW w:w="1448" w:type="dxa"/>
            <w:tcBorders>
              <w:top w:val="single" w:sz="4" w:space="0" w:color="FFFFFF" w:themeColor="background1"/>
              <w:left w:val="single" w:sz="4" w:space="0" w:color="FFFFFF" w:themeColor="background1"/>
              <w:right w:val="single" w:sz="4" w:space="0" w:color="FFFFFF" w:themeColor="background1"/>
            </w:tcBorders>
            <w:hideMark/>
          </w:tcPr>
          <w:p w:rsidR="00355749" w:rsidRPr="008E13C0" w:rsidRDefault="00355749" w:rsidP="00654E41">
            <w:pPr>
              <w:pStyle w:val="NormalWeb"/>
              <w:jc w:val="center"/>
              <w:rPr>
                <w:color w:val="FFFFFF" w:themeColor="background1"/>
              </w:rPr>
            </w:pPr>
            <w:r w:rsidRPr="008E13C0">
              <w:rPr>
                <w:color w:val="FFFFFF" w:themeColor="background1"/>
              </w:rPr>
              <w:t>%</w:t>
            </w:r>
          </w:p>
        </w:tc>
        <w:tc>
          <w:tcPr>
            <w:tcW w:w="1448" w:type="dxa"/>
            <w:tcBorders>
              <w:top w:val="single" w:sz="4" w:space="0" w:color="FFFFFF" w:themeColor="background1"/>
              <w:left w:val="single" w:sz="4" w:space="0" w:color="FFFFFF" w:themeColor="background1"/>
              <w:right w:val="single" w:sz="4" w:space="0" w:color="FFFFFF" w:themeColor="background1"/>
            </w:tcBorders>
            <w:hideMark/>
          </w:tcPr>
          <w:p w:rsidR="00355749" w:rsidRPr="008E13C0" w:rsidRDefault="00355749" w:rsidP="00654E41">
            <w:pPr>
              <w:pStyle w:val="NormalWeb"/>
              <w:jc w:val="center"/>
              <w:rPr>
                <w:color w:val="FFFFFF" w:themeColor="background1"/>
              </w:rPr>
            </w:pPr>
            <w:r w:rsidRPr="008E13C0">
              <w:rPr>
                <w:color w:val="FFFFFF" w:themeColor="background1"/>
              </w:rPr>
              <w:t>n</w:t>
            </w:r>
          </w:p>
        </w:tc>
        <w:tc>
          <w:tcPr>
            <w:tcW w:w="1448" w:type="dxa"/>
            <w:tcBorders>
              <w:top w:val="single" w:sz="4" w:space="0" w:color="FFFFFF" w:themeColor="background1"/>
              <w:left w:val="single" w:sz="4" w:space="0" w:color="FFFFFF" w:themeColor="background1"/>
            </w:tcBorders>
            <w:hideMark/>
          </w:tcPr>
          <w:p w:rsidR="00355749" w:rsidRPr="008E13C0" w:rsidRDefault="00355749" w:rsidP="00654E41">
            <w:pPr>
              <w:pStyle w:val="NormalWeb"/>
              <w:jc w:val="center"/>
              <w:rPr>
                <w:color w:val="FFFFFF" w:themeColor="background1"/>
              </w:rPr>
            </w:pPr>
            <w:r w:rsidRPr="008E13C0">
              <w:rPr>
                <w:color w:val="FFFFFF" w:themeColor="background1"/>
              </w:rPr>
              <w:t>%</w:t>
            </w:r>
          </w:p>
        </w:tc>
      </w:tr>
      <w:tr w:rsidR="00D35986" w:rsidTr="00056CB0">
        <w:tc>
          <w:tcPr>
            <w:tcW w:w="1701" w:type="dxa"/>
            <w:hideMark/>
          </w:tcPr>
          <w:p w:rsidR="00355749" w:rsidRDefault="00056CB0">
            <w:pPr>
              <w:pStyle w:val="NormalWeb"/>
            </w:pPr>
            <w:r>
              <w:t>ACT</w:t>
            </w:r>
          </w:p>
        </w:tc>
        <w:tc>
          <w:tcPr>
            <w:tcW w:w="1701" w:type="dxa"/>
            <w:hideMark/>
          </w:tcPr>
          <w:p w:rsidR="00355749" w:rsidRDefault="00355749" w:rsidP="00654E41">
            <w:pPr>
              <w:pStyle w:val="NormalWeb"/>
              <w:jc w:val="center"/>
            </w:pPr>
            <w:r>
              <w:t>206</w:t>
            </w:r>
          </w:p>
        </w:tc>
        <w:tc>
          <w:tcPr>
            <w:tcW w:w="1447" w:type="dxa"/>
            <w:hideMark/>
          </w:tcPr>
          <w:p w:rsidR="00355749" w:rsidRDefault="00355749" w:rsidP="00654E41">
            <w:pPr>
              <w:pStyle w:val="NormalWeb"/>
              <w:jc w:val="center"/>
            </w:pPr>
            <w:r>
              <w:t>4</w:t>
            </w:r>
          </w:p>
        </w:tc>
        <w:tc>
          <w:tcPr>
            <w:tcW w:w="1448" w:type="dxa"/>
            <w:hideMark/>
          </w:tcPr>
          <w:p w:rsidR="00355749" w:rsidRDefault="00355749" w:rsidP="00654E41">
            <w:pPr>
              <w:pStyle w:val="NormalWeb"/>
              <w:jc w:val="center"/>
            </w:pPr>
            <w:r>
              <w:t>1.9</w:t>
            </w:r>
          </w:p>
        </w:tc>
        <w:tc>
          <w:tcPr>
            <w:tcW w:w="1448" w:type="dxa"/>
            <w:hideMark/>
          </w:tcPr>
          <w:p w:rsidR="00355749" w:rsidRDefault="00355749" w:rsidP="00654E41">
            <w:pPr>
              <w:pStyle w:val="NormalWeb"/>
              <w:jc w:val="center"/>
            </w:pPr>
            <w:r>
              <w:t>18</w:t>
            </w:r>
          </w:p>
        </w:tc>
        <w:tc>
          <w:tcPr>
            <w:tcW w:w="1448" w:type="dxa"/>
            <w:hideMark/>
          </w:tcPr>
          <w:p w:rsidR="00355749" w:rsidRDefault="00355749" w:rsidP="00654E41">
            <w:pPr>
              <w:pStyle w:val="NormalWeb"/>
              <w:jc w:val="center"/>
            </w:pPr>
            <w:r>
              <w:t>8.7</w:t>
            </w:r>
          </w:p>
        </w:tc>
        <w:tc>
          <w:tcPr>
            <w:tcW w:w="1447" w:type="dxa"/>
            <w:hideMark/>
          </w:tcPr>
          <w:p w:rsidR="00355749" w:rsidRDefault="00355749" w:rsidP="00654E41">
            <w:pPr>
              <w:pStyle w:val="NormalWeb"/>
              <w:jc w:val="center"/>
            </w:pPr>
            <w:r>
              <w:t>24</w:t>
            </w:r>
          </w:p>
        </w:tc>
        <w:tc>
          <w:tcPr>
            <w:tcW w:w="1448" w:type="dxa"/>
            <w:hideMark/>
          </w:tcPr>
          <w:p w:rsidR="00355749" w:rsidRDefault="00355749" w:rsidP="00654E41">
            <w:pPr>
              <w:pStyle w:val="NormalWeb"/>
              <w:jc w:val="center"/>
            </w:pPr>
            <w:r>
              <w:t>11.7</w:t>
            </w:r>
          </w:p>
        </w:tc>
        <w:tc>
          <w:tcPr>
            <w:tcW w:w="1448" w:type="dxa"/>
            <w:hideMark/>
          </w:tcPr>
          <w:p w:rsidR="00355749" w:rsidRDefault="00355749" w:rsidP="00654E41">
            <w:pPr>
              <w:pStyle w:val="NormalWeb"/>
              <w:jc w:val="center"/>
            </w:pPr>
            <w:r>
              <w:t>26</w:t>
            </w:r>
          </w:p>
        </w:tc>
        <w:tc>
          <w:tcPr>
            <w:tcW w:w="1448" w:type="dxa"/>
            <w:hideMark/>
          </w:tcPr>
          <w:p w:rsidR="00355749" w:rsidRDefault="00355749" w:rsidP="00654E41">
            <w:pPr>
              <w:pStyle w:val="NormalWeb"/>
              <w:jc w:val="center"/>
            </w:pPr>
            <w:r>
              <w:t>12.6</w:t>
            </w:r>
          </w:p>
        </w:tc>
      </w:tr>
      <w:tr w:rsidR="00654E41" w:rsidTr="00056CB0">
        <w:trPr>
          <w:cnfStyle w:val="000000010000" w:firstRow="0" w:lastRow="0" w:firstColumn="0" w:lastColumn="0" w:oddVBand="0" w:evenVBand="0" w:oddHBand="0" w:evenHBand="1" w:firstRowFirstColumn="0" w:firstRowLastColumn="0" w:lastRowFirstColumn="0" w:lastRowLastColumn="0"/>
        </w:trPr>
        <w:tc>
          <w:tcPr>
            <w:tcW w:w="1701" w:type="dxa"/>
            <w:hideMark/>
          </w:tcPr>
          <w:p w:rsidR="00355749" w:rsidRDefault="00056CB0">
            <w:pPr>
              <w:pStyle w:val="NormalWeb"/>
            </w:pPr>
            <w:r>
              <w:t>NSW</w:t>
            </w:r>
          </w:p>
        </w:tc>
        <w:tc>
          <w:tcPr>
            <w:tcW w:w="1701" w:type="dxa"/>
            <w:hideMark/>
          </w:tcPr>
          <w:p w:rsidR="00355749" w:rsidRDefault="00355749" w:rsidP="00654E41">
            <w:pPr>
              <w:pStyle w:val="NormalWeb"/>
              <w:jc w:val="center"/>
            </w:pPr>
            <w:r>
              <w:t>3,535</w:t>
            </w:r>
          </w:p>
        </w:tc>
        <w:tc>
          <w:tcPr>
            <w:tcW w:w="1447" w:type="dxa"/>
            <w:hideMark/>
          </w:tcPr>
          <w:p w:rsidR="00355749" w:rsidRDefault="00355749" w:rsidP="00654E41">
            <w:pPr>
              <w:pStyle w:val="NormalWeb"/>
              <w:jc w:val="center"/>
            </w:pPr>
            <w:r>
              <w:t>30</w:t>
            </w:r>
          </w:p>
        </w:tc>
        <w:tc>
          <w:tcPr>
            <w:tcW w:w="1448" w:type="dxa"/>
            <w:hideMark/>
          </w:tcPr>
          <w:p w:rsidR="00355749" w:rsidRDefault="00355749" w:rsidP="00654E41">
            <w:pPr>
              <w:pStyle w:val="NormalWeb"/>
              <w:jc w:val="center"/>
            </w:pPr>
            <w:r>
              <w:t>0.8</w:t>
            </w:r>
          </w:p>
        </w:tc>
        <w:tc>
          <w:tcPr>
            <w:tcW w:w="1448" w:type="dxa"/>
            <w:hideMark/>
          </w:tcPr>
          <w:p w:rsidR="00355749" w:rsidRDefault="00355749" w:rsidP="00654E41">
            <w:pPr>
              <w:pStyle w:val="NormalWeb"/>
              <w:jc w:val="center"/>
            </w:pPr>
            <w:r>
              <w:t>230</w:t>
            </w:r>
          </w:p>
        </w:tc>
        <w:tc>
          <w:tcPr>
            <w:tcW w:w="1448" w:type="dxa"/>
            <w:hideMark/>
          </w:tcPr>
          <w:p w:rsidR="00355749" w:rsidRDefault="00355749" w:rsidP="00654E41">
            <w:pPr>
              <w:pStyle w:val="NormalWeb"/>
              <w:jc w:val="center"/>
            </w:pPr>
            <w:r>
              <w:t>6.5</w:t>
            </w:r>
          </w:p>
        </w:tc>
        <w:tc>
          <w:tcPr>
            <w:tcW w:w="1447" w:type="dxa"/>
            <w:hideMark/>
          </w:tcPr>
          <w:p w:rsidR="00355749" w:rsidRDefault="00355749" w:rsidP="00654E41">
            <w:pPr>
              <w:pStyle w:val="NormalWeb"/>
              <w:jc w:val="center"/>
            </w:pPr>
            <w:r>
              <w:t>823</w:t>
            </w:r>
          </w:p>
        </w:tc>
        <w:tc>
          <w:tcPr>
            <w:tcW w:w="1448" w:type="dxa"/>
            <w:hideMark/>
          </w:tcPr>
          <w:p w:rsidR="00355749" w:rsidRDefault="00355749" w:rsidP="00654E41">
            <w:pPr>
              <w:pStyle w:val="NormalWeb"/>
              <w:jc w:val="center"/>
            </w:pPr>
            <w:r>
              <w:t>23.3</w:t>
            </w:r>
          </w:p>
        </w:tc>
        <w:tc>
          <w:tcPr>
            <w:tcW w:w="1448" w:type="dxa"/>
            <w:hideMark/>
          </w:tcPr>
          <w:p w:rsidR="00355749" w:rsidRDefault="00355749" w:rsidP="00654E41">
            <w:pPr>
              <w:pStyle w:val="NormalWeb"/>
              <w:jc w:val="center"/>
            </w:pPr>
            <w:r>
              <w:t>1,023</w:t>
            </w:r>
          </w:p>
        </w:tc>
        <w:tc>
          <w:tcPr>
            <w:tcW w:w="1448" w:type="dxa"/>
            <w:hideMark/>
          </w:tcPr>
          <w:p w:rsidR="00355749" w:rsidRDefault="00355749" w:rsidP="00654E41">
            <w:pPr>
              <w:pStyle w:val="NormalWeb"/>
              <w:jc w:val="center"/>
            </w:pPr>
            <w:r>
              <w:t>28.9</w:t>
            </w:r>
          </w:p>
        </w:tc>
      </w:tr>
      <w:tr w:rsidR="00D35986" w:rsidTr="00056CB0">
        <w:tc>
          <w:tcPr>
            <w:tcW w:w="1701" w:type="dxa"/>
            <w:hideMark/>
          </w:tcPr>
          <w:p w:rsidR="00355749" w:rsidRDefault="00056CB0">
            <w:pPr>
              <w:pStyle w:val="NormalWeb"/>
            </w:pPr>
            <w:r>
              <w:t>Qld</w:t>
            </w:r>
          </w:p>
        </w:tc>
        <w:tc>
          <w:tcPr>
            <w:tcW w:w="1701" w:type="dxa"/>
            <w:hideMark/>
          </w:tcPr>
          <w:p w:rsidR="00355749" w:rsidRDefault="00355749" w:rsidP="00654E41">
            <w:pPr>
              <w:pStyle w:val="NormalWeb"/>
              <w:jc w:val="center"/>
            </w:pPr>
            <w:r>
              <w:t>1,375</w:t>
            </w:r>
          </w:p>
        </w:tc>
        <w:tc>
          <w:tcPr>
            <w:tcW w:w="1447" w:type="dxa"/>
            <w:hideMark/>
          </w:tcPr>
          <w:p w:rsidR="00355749" w:rsidRDefault="00355749" w:rsidP="00654E41">
            <w:pPr>
              <w:pStyle w:val="NormalWeb"/>
              <w:jc w:val="center"/>
            </w:pPr>
            <w:r>
              <w:t>18</w:t>
            </w:r>
          </w:p>
        </w:tc>
        <w:tc>
          <w:tcPr>
            <w:tcW w:w="1448" w:type="dxa"/>
            <w:hideMark/>
          </w:tcPr>
          <w:p w:rsidR="00355749" w:rsidRDefault="00355749" w:rsidP="00654E41">
            <w:pPr>
              <w:pStyle w:val="NormalWeb"/>
              <w:jc w:val="center"/>
            </w:pPr>
            <w:r>
              <w:t>1.3</w:t>
            </w:r>
          </w:p>
        </w:tc>
        <w:tc>
          <w:tcPr>
            <w:tcW w:w="1448" w:type="dxa"/>
            <w:hideMark/>
          </w:tcPr>
          <w:p w:rsidR="00355749" w:rsidRDefault="00355749" w:rsidP="00654E41">
            <w:pPr>
              <w:pStyle w:val="NormalWeb"/>
              <w:jc w:val="center"/>
            </w:pPr>
            <w:r>
              <w:t>68</w:t>
            </w:r>
          </w:p>
        </w:tc>
        <w:tc>
          <w:tcPr>
            <w:tcW w:w="1448" w:type="dxa"/>
            <w:hideMark/>
          </w:tcPr>
          <w:p w:rsidR="00355749" w:rsidRDefault="00355749" w:rsidP="00654E41">
            <w:pPr>
              <w:pStyle w:val="NormalWeb"/>
              <w:jc w:val="center"/>
            </w:pPr>
            <w:r>
              <w:t>4.9</w:t>
            </w:r>
          </w:p>
        </w:tc>
        <w:tc>
          <w:tcPr>
            <w:tcW w:w="1447" w:type="dxa"/>
            <w:hideMark/>
          </w:tcPr>
          <w:p w:rsidR="00355749" w:rsidRDefault="00355749" w:rsidP="00654E41">
            <w:pPr>
              <w:pStyle w:val="NormalWeb"/>
              <w:jc w:val="center"/>
            </w:pPr>
            <w:r>
              <w:t>284</w:t>
            </w:r>
          </w:p>
        </w:tc>
        <w:tc>
          <w:tcPr>
            <w:tcW w:w="1448" w:type="dxa"/>
            <w:hideMark/>
          </w:tcPr>
          <w:p w:rsidR="00355749" w:rsidRDefault="00355749" w:rsidP="00654E41">
            <w:pPr>
              <w:pStyle w:val="NormalWeb"/>
              <w:jc w:val="center"/>
            </w:pPr>
            <w:r>
              <w:t>20.7</w:t>
            </w:r>
          </w:p>
        </w:tc>
        <w:tc>
          <w:tcPr>
            <w:tcW w:w="1448" w:type="dxa"/>
            <w:hideMark/>
          </w:tcPr>
          <w:p w:rsidR="00355749" w:rsidRDefault="00355749" w:rsidP="00654E41">
            <w:pPr>
              <w:pStyle w:val="NormalWeb"/>
              <w:jc w:val="center"/>
            </w:pPr>
            <w:r>
              <w:t>379</w:t>
            </w:r>
          </w:p>
        </w:tc>
        <w:tc>
          <w:tcPr>
            <w:tcW w:w="1448" w:type="dxa"/>
            <w:hideMark/>
          </w:tcPr>
          <w:p w:rsidR="00355749" w:rsidRDefault="00355749" w:rsidP="00654E41">
            <w:pPr>
              <w:pStyle w:val="NormalWeb"/>
              <w:jc w:val="center"/>
            </w:pPr>
            <w:r>
              <w:t>27.6</w:t>
            </w:r>
          </w:p>
        </w:tc>
      </w:tr>
      <w:tr w:rsidR="00654E41" w:rsidTr="00056CB0">
        <w:trPr>
          <w:cnfStyle w:val="000000010000" w:firstRow="0" w:lastRow="0" w:firstColumn="0" w:lastColumn="0" w:oddVBand="0" w:evenVBand="0" w:oddHBand="0" w:evenHBand="1" w:firstRowFirstColumn="0" w:firstRowLastColumn="0" w:lastRowFirstColumn="0" w:lastRowLastColumn="0"/>
        </w:trPr>
        <w:tc>
          <w:tcPr>
            <w:tcW w:w="1701" w:type="dxa"/>
            <w:hideMark/>
          </w:tcPr>
          <w:p w:rsidR="00355749" w:rsidRDefault="00355749" w:rsidP="00056CB0">
            <w:pPr>
              <w:pStyle w:val="NormalWeb"/>
            </w:pPr>
            <w:proofErr w:type="spellStart"/>
            <w:r>
              <w:t>SA</w:t>
            </w:r>
            <w:r w:rsidRPr="00DF0390">
              <w:rPr>
                <w:vertAlign w:val="superscript"/>
              </w:rPr>
              <w:t>a</w:t>
            </w:r>
            <w:proofErr w:type="spellEnd"/>
          </w:p>
        </w:tc>
        <w:tc>
          <w:tcPr>
            <w:tcW w:w="1701" w:type="dxa"/>
            <w:hideMark/>
          </w:tcPr>
          <w:p w:rsidR="00355749" w:rsidRDefault="00355749" w:rsidP="00654E41">
            <w:pPr>
              <w:pStyle w:val="NormalWeb"/>
              <w:jc w:val="center"/>
            </w:pPr>
            <w:r>
              <w:t>231</w:t>
            </w:r>
          </w:p>
        </w:tc>
        <w:tc>
          <w:tcPr>
            <w:tcW w:w="1447" w:type="dxa"/>
            <w:hideMark/>
          </w:tcPr>
          <w:p w:rsidR="00355749" w:rsidRDefault="00355749" w:rsidP="00654E41">
            <w:pPr>
              <w:pStyle w:val="NormalWeb"/>
              <w:jc w:val="center"/>
            </w:pPr>
            <w:r>
              <w:t>3</w:t>
            </w:r>
          </w:p>
        </w:tc>
        <w:tc>
          <w:tcPr>
            <w:tcW w:w="1448" w:type="dxa"/>
            <w:hideMark/>
          </w:tcPr>
          <w:p w:rsidR="00355749" w:rsidRDefault="00355749" w:rsidP="00654E41">
            <w:pPr>
              <w:pStyle w:val="NormalWeb"/>
              <w:jc w:val="center"/>
            </w:pPr>
            <w:r>
              <w:t>1.3</w:t>
            </w:r>
          </w:p>
        </w:tc>
        <w:tc>
          <w:tcPr>
            <w:tcW w:w="1448" w:type="dxa"/>
            <w:hideMark/>
          </w:tcPr>
          <w:p w:rsidR="00355749" w:rsidRDefault="00355749" w:rsidP="00654E41">
            <w:pPr>
              <w:pStyle w:val="NormalWeb"/>
              <w:jc w:val="center"/>
            </w:pPr>
            <w:r>
              <w:t>7</w:t>
            </w:r>
          </w:p>
        </w:tc>
        <w:tc>
          <w:tcPr>
            <w:tcW w:w="1448" w:type="dxa"/>
            <w:hideMark/>
          </w:tcPr>
          <w:p w:rsidR="00355749" w:rsidRDefault="00355749" w:rsidP="00654E41">
            <w:pPr>
              <w:pStyle w:val="NormalWeb"/>
              <w:jc w:val="center"/>
            </w:pPr>
            <w:r>
              <w:t>3.0</w:t>
            </w:r>
          </w:p>
        </w:tc>
        <w:tc>
          <w:tcPr>
            <w:tcW w:w="1447" w:type="dxa"/>
            <w:hideMark/>
          </w:tcPr>
          <w:p w:rsidR="00355749" w:rsidRDefault="00355749" w:rsidP="00654E41">
            <w:pPr>
              <w:pStyle w:val="NormalWeb"/>
              <w:jc w:val="center"/>
            </w:pPr>
            <w:r>
              <w:t>52</w:t>
            </w:r>
          </w:p>
        </w:tc>
        <w:tc>
          <w:tcPr>
            <w:tcW w:w="1448" w:type="dxa"/>
            <w:hideMark/>
          </w:tcPr>
          <w:p w:rsidR="00355749" w:rsidRDefault="00355749" w:rsidP="00654E41">
            <w:pPr>
              <w:pStyle w:val="NormalWeb"/>
              <w:jc w:val="center"/>
            </w:pPr>
            <w:r>
              <w:t>44.1</w:t>
            </w:r>
          </w:p>
        </w:tc>
        <w:tc>
          <w:tcPr>
            <w:tcW w:w="1448" w:type="dxa"/>
            <w:hideMark/>
          </w:tcPr>
          <w:p w:rsidR="00355749" w:rsidRDefault="00355749" w:rsidP="00654E41">
            <w:pPr>
              <w:pStyle w:val="NormalWeb"/>
              <w:jc w:val="center"/>
            </w:pPr>
            <w:r>
              <w:t>57</w:t>
            </w:r>
          </w:p>
        </w:tc>
        <w:tc>
          <w:tcPr>
            <w:tcW w:w="1448" w:type="dxa"/>
            <w:hideMark/>
          </w:tcPr>
          <w:p w:rsidR="00355749" w:rsidRDefault="00355749" w:rsidP="00654E41">
            <w:pPr>
              <w:pStyle w:val="NormalWeb"/>
              <w:jc w:val="center"/>
            </w:pPr>
            <w:r>
              <w:t>48.3</w:t>
            </w:r>
          </w:p>
        </w:tc>
      </w:tr>
      <w:tr w:rsidR="00D35986" w:rsidTr="00056CB0">
        <w:tc>
          <w:tcPr>
            <w:tcW w:w="1701" w:type="dxa"/>
            <w:hideMark/>
          </w:tcPr>
          <w:p w:rsidR="00355749" w:rsidRDefault="00056CB0">
            <w:pPr>
              <w:pStyle w:val="NormalWeb"/>
            </w:pPr>
            <w:r>
              <w:t>Tas</w:t>
            </w:r>
          </w:p>
        </w:tc>
        <w:tc>
          <w:tcPr>
            <w:tcW w:w="1701" w:type="dxa"/>
            <w:hideMark/>
          </w:tcPr>
          <w:p w:rsidR="00355749" w:rsidRDefault="00355749" w:rsidP="00654E41">
            <w:pPr>
              <w:pStyle w:val="NormalWeb"/>
              <w:jc w:val="center"/>
            </w:pPr>
            <w:r>
              <w:t>55</w:t>
            </w:r>
          </w:p>
        </w:tc>
        <w:tc>
          <w:tcPr>
            <w:tcW w:w="1447" w:type="dxa"/>
            <w:hideMark/>
          </w:tcPr>
          <w:p w:rsidR="00355749" w:rsidRDefault="00355749" w:rsidP="00654E41">
            <w:pPr>
              <w:pStyle w:val="NormalWeb"/>
              <w:jc w:val="center"/>
            </w:pPr>
            <w:r>
              <w:t>4</w:t>
            </w:r>
          </w:p>
        </w:tc>
        <w:tc>
          <w:tcPr>
            <w:tcW w:w="1448" w:type="dxa"/>
            <w:hideMark/>
          </w:tcPr>
          <w:p w:rsidR="00355749" w:rsidRDefault="00355749" w:rsidP="00654E41">
            <w:pPr>
              <w:pStyle w:val="NormalWeb"/>
              <w:jc w:val="center"/>
            </w:pPr>
            <w:r>
              <w:t>7.3</w:t>
            </w:r>
          </w:p>
        </w:tc>
        <w:tc>
          <w:tcPr>
            <w:tcW w:w="1448" w:type="dxa"/>
            <w:hideMark/>
          </w:tcPr>
          <w:p w:rsidR="00355749" w:rsidRDefault="00355749" w:rsidP="00654E41">
            <w:pPr>
              <w:pStyle w:val="NormalWeb"/>
              <w:jc w:val="center"/>
            </w:pPr>
            <w:r>
              <w:t>3</w:t>
            </w:r>
          </w:p>
        </w:tc>
        <w:tc>
          <w:tcPr>
            <w:tcW w:w="1448" w:type="dxa"/>
            <w:hideMark/>
          </w:tcPr>
          <w:p w:rsidR="00355749" w:rsidRDefault="00355749" w:rsidP="00654E41">
            <w:pPr>
              <w:pStyle w:val="NormalWeb"/>
              <w:jc w:val="center"/>
            </w:pPr>
            <w:r>
              <w:t>5.5</w:t>
            </w:r>
          </w:p>
        </w:tc>
        <w:tc>
          <w:tcPr>
            <w:tcW w:w="1447" w:type="dxa"/>
            <w:hideMark/>
          </w:tcPr>
          <w:p w:rsidR="00355749" w:rsidRDefault="00355749" w:rsidP="00654E41">
            <w:pPr>
              <w:pStyle w:val="NormalWeb"/>
              <w:jc w:val="center"/>
            </w:pPr>
            <w:r>
              <w:t>14</w:t>
            </w:r>
          </w:p>
        </w:tc>
        <w:tc>
          <w:tcPr>
            <w:tcW w:w="1448" w:type="dxa"/>
            <w:hideMark/>
          </w:tcPr>
          <w:p w:rsidR="00355749" w:rsidRDefault="00355749" w:rsidP="00654E41">
            <w:pPr>
              <w:pStyle w:val="NormalWeb"/>
              <w:jc w:val="center"/>
            </w:pPr>
            <w:r>
              <w:t>25.5</w:t>
            </w:r>
          </w:p>
        </w:tc>
        <w:tc>
          <w:tcPr>
            <w:tcW w:w="1448" w:type="dxa"/>
            <w:hideMark/>
          </w:tcPr>
          <w:p w:rsidR="00355749" w:rsidRDefault="00355749" w:rsidP="00654E41">
            <w:pPr>
              <w:pStyle w:val="NormalWeb"/>
              <w:jc w:val="center"/>
            </w:pPr>
            <w:r>
              <w:t>20</w:t>
            </w:r>
          </w:p>
        </w:tc>
        <w:tc>
          <w:tcPr>
            <w:tcW w:w="1448" w:type="dxa"/>
            <w:hideMark/>
          </w:tcPr>
          <w:p w:rsidR="00355749" w:rsidRDefault="00355749" w:rsidP="00654E41">
            <w:pPr>
              <w:pStyle w:val="NormalWeb"/>
              <w:jc w:val="center"/>
            </w:pPr>
            <w:r>
              <w:t>36.4</w:t>
            </w:r>
          </w:p>
        </w:tc>
      </w:tr>
      <w:tr w:rsidR="00654E41" w:rsidTr="00056CB0">
        <w:trPr>
          <w:cnfStyle w:val="000000010000" w:firstRow="0" w:lastRow="0" w:firstColumn="0" w:lastColumn="0" w:oddVBand="0" w:evenVBand="0" w:oddHBand="0" w:evenHBand="1" w:firstRowFirstColumn="0" w:firstRowLastColumn="0" w:lastRowFirstColumn="0" w:lastRowLastColumn="0"/>
        </w:trPr>
        <w:tc>
          <w:tcPr>
            <w:tcW w:w="1701" w:type="dxa"/>
            <w:hideMark/>
          </w:tcPr>
          <w:p w:rsidR="00355749" w:rsidRDefault="00056CB0">
            <w:pPr>
              <w:pStyle w:val="NormalWeb"/>
            </w:pPr>
            <w:r>
              <w:t>Vic</w:t>
            </w:r>
          </w:p>
        </w:tc>
        <w:tc>
          <w:tcPr>
            <w:tcW w:w="1701" w:type="dxa"/>
            <w:hideMark/>
          </w:tcPr>
          <w:p w:rsidR="00355749" w:rsidRDefault="00355749" w:rsidP="00654E41">
            <w:pPr>
              <w:pStyle w:val="NormalWeb"/>
              <w:jc w:val="center"/>
            </w:pPr>
            <w:r>
              <w:t>2,619</w:t>
            </w:r>
          </w:p>
        </w:tc>
        <w:tc>
          <w:tcPr>
            <w:tcW w:w="1447" w:type="dxa"/>
            <w:hideMark/>
          </w:tcPr>
          <w:p w:rsidR="00355749" w:rsidRDefault="00355749" w:rsidP="00654E41">
            <w:pPr>
              <w:pStyle w:val="NormalWeb"/>
              <w:jc w:val="center"/>
            </w:pPr>
            <w:r>
              <w:t>83</w:t>
            </w:r>
          </w:p>
        </w:tc>
        <w:tc>
          <w:tcPr>
            <w:tcW w:w="1448" w:type="dxa"/>
            <w:hideMark/>
          </w:tcPr>
          <w:p w:rsidR="00355749" w:rsidRDefault="00355749" w:rsidP="00654E41">
            <w:pPr>
              <w:pStyle w:val="NormalWeb"/>
              <w:jc w:val="center"/>
            </w:pPr>
            <w:r>
              <w:t>3.2</w:t>
            </w:r>
          </w:p>
        </w:tc>
        <w:tc>
          <w:tcPr>
            <w:tcW w:w="1448" w:type="dxa"/>
            <w:hideMark/>
          </w:tcPr>
          <w:p w:rsidR="00355749" w:rsidRDefault="00355749" w:rsidP="00654E41">
            <w:pPr>
              <w:pStyle w:val="NormalWeb"/>
              <w:jc w:val="center"/>
            </w:pPr>
            <w:r>
              <w:t>217</w:t>
            </w:r>
          </w:p>
        </w:tc>
        <w:tc>
          <w:tcPr>
            <w:tcW w:w="1448" w:type="dxa"/>
            <w:hideMark/>
          </w:tcPr>
          <w:p w:rsidR="00355749" w:rsidRDefault="00355749" w:rsidP="00654E41">
            <w:pPr>
              <w:pStyle w:val="NormalWeb"/>
              <w:jc w:val="center"/>
            </w:pPr>
            <w:r>
              <w:t>8.3</w:t>
            </w:r>
          </w:p>
        </w:tc>
        <w:tc>
          <w:tcPr>
            <w:tcW w:w="1447" w:type="dxa"/>
            <w:hideMark/>
          </w:tcPr>
          <w:p w:rsidR="00355749" w:rsidRDefault="00355749" w:rsidP="00654E41">
            <w:pPr>
              <w:pStyle w:val="NormalWeb"/>
              <w:jc w:val="center"/>
            </w:pPr>
            <w:r>
              <w:t>529</w:t>
            </w:r>
          </w:p>
        </w:tc>
        <w:tc>
          <w:tcPr>
            <w:tcW w:w="1448" w:type="dxa"/>
            <w:hideMark/>
          </w:tcPr>
          <w:p w:rsidR="00355749" w:rsidRDefault="00355749" w:rsidP="00654E41">
            <w:pPr>
              <w:pStyle w:val="NormalWeb"/>
              <w:jc w:val="center"/>
            </w:pPr>
            <w:r>
              <w:t>20.2</w:t>
            </w:r>
          </w:p>
        </w:tc>
        <w:tc>
          <w:tcPr>
            <w:tcW w:w="1448" w:type="dxa"/>
            <w:hideMark/>
          </w:tcPr>
          <w:p w:rsidR="00355749" w:rsidRDefault="00355749" w:rsidP="00654E41">
            <w:pPr>
              <w:pStyle w:val="NormalWeb"/>
              <w:jc w:val="center"/>
            </w:pPr>
            <w:r>
              <w:t>610</w:t>
            </w:r>
          </w:p>
        </w:tc>
        <w:tc>
          <w:tcPr>
            <w:tcW w:w="1448" w:type="dxa"/>
            <w:hideMark/>
          </w:tcPr>
          <w:p w:rsidR="00355749" w:rsidRDefault="00355749" w:rsidP="00654E41">
            <w:pPr>
              <w:pStyle w:val="NormalWeb"/>
              <w:jc w:val="center"/>
            </w:pPr>
            <w:r>
              <w:t>23.3</w:t>
            </w:r>
          </w:p>
        </w:tc>
      </w:tr>
      <w:tr w:rsidR="00D35986" w:rsidTr="00056CB0">
        <w:tc>
          <w:tcPr>
            <w:tcW w:w="1701" w:type="dxa"/>
            <w:hideMark/>
          </w:tcPr>
          <w:p w:rsidR="00355749" w:rsidRDefault="00056CB0" w:rsidP="00056CB0">
            <w:pPr>
              <w:pStyle w:val="NormalWeb"/>
            </w:pPr>
            <w:r>
              <w:t xml:space="preserve">NT </w:t>
            </w:r>
            <w:r w:rsidR="00355749">
              <w:t>non-remote</w:t>
            </w:r>
          </w:p>
        </w:tc>
        <w:tc>
          <w:tcPr>
            <w:tcW w:w="1701" w:type="dxa"/>
            <w:hideMark/>
          </w:tcPr>
          <w:p w:rsidR="00355749" w:rsidRDefault="00355749" w:rsidP="00654E41">
            <w:pPr>
              <w:pStyle w:val="NormalWeb"/>
              <w:jc w:val="center"/>
            </w:pPr>
            <w:r>
              <w:t>68</w:t>
            </w:r>
          </w:p>
        </w:tc>
        <w:tc>
          <w:tcPr>
            <w:tcW w:w="1447" w:type="dxa"/>
            <w:hideMark/>
          </w:tcPr>
          <w:p w:rsidR="00355749" w:rsidRDefault="00355749" w:rsidP="00654E41">
            <w:pPr>
              <w:pStyle w:val="NormalWeb"/>
              <w:jc w:val="center"/>
            </w:pPr>
            <w:r>
              <w:t>0</w:t>
            </w:r>
          </w:p>
        </w:tc>
        <w:tc>
          <w:tcPr>
            <w:tcW w:w="1448" w:type="dxa"/>
            <w:hideMark/>
          </w:tcPr>
          <w:p w:rsidR="00355749" w:rsidRDefault="00355749" w:rsidP="00654E41">
            <w:pPr>
              <w:pStyle w:val="NormalWeb"/>
              <w:jc w:val="center"/>
            </w:pPr>
            <w:r>
              <w:t>0</w:t>
            </w:r>
          </w:p>
        </w:tc>
        <w:tc>
          <w:tcPr>
            <w:tcW w:w="1448" w:type="dxa"/>
            <w:hideMark/>
          </w:tcPr>
          <w:p w:rsidR="00355749" w:rsidRDefault="00355749" w:rsidP="00654E41">
            <w:pPr>
              <w:pStyle w:val="NormalWeb"/>
              <w:jc w:val="center"/>
            </w:pPr>
            <w:r>
              <w:t>1</w:t>
            </w:r>
          </w:p>
        </w:tc>
        <w:tc>
          <w:tcPr>
            <w:tcW w:w="1448" w:type="dxa"/>
            <w:hideMark/>
          </w:tcPr>
          <w:p w:rsidR="00355749" w:rsidRDefault="00355749" w:rsidP="00654E41">
            <w:pPr>
              <w:pStyle w:val="NormalWeb"/>
              <w:jc w:val="center"/>
            </w:pPr>
            <w:r>
              <w:t>1.5</w:t>
            </w:r>
          </w:p>
        </w:tc>
        <w:tc>
          <w:tcPr>
            <w:tcW w:w="1447" w:type="dxa"/>
            <w:hideMark/>
          </w:tcPr>
          <w:p w:rsidR="00355749" w:rsidRDefault="00355749" w:rsidP="00654E41">
            <w:pPr>
              <w:pStyle w:val="NormalWeb"/>
              <w:jc w:val="center"/>
            </w:pPr>
            <w:r>
              <w:t>6</w:t>
            </w:r>
          </w:p>
        </w:tc>
        <w:tc>
          <w:tcPr>
            <w:tcW w:w="1448" w:type="dxa"/>
            <w:hideMark/>
          </w:tcPr>
          <w:p w:rsidR="00355749" w:rsidRDefault="00355749" w:rsidP="00654E41">
            <w:pPr>
              <w:pStyle w:val="NormalWeb"/>
              <w:jc w:val="center"/>
            </w:pPr>
            <w:r>
              <w:t>8.8</w:t>
            </w:r>
          </w:p>
        </w:tc>
        <w:tc>
          <w:tcPr>
            <w:tcW w:w="1448" w:type="dxa"/>
            <w:hideMark/>
          </w:tcPr>
          <w:p w:rsidR="00355749" w:rsidRDefault="00355749" w:rsidP="00654E41">
            <w:pPr>
              <w:pStyle w:val="NormalWeb"/>
              <w:jc w:val="center"/>
            </w:pPr>
            <w:r>
              <w:t>7</w:t>
            </w:r>
          </w:p>
        </w:tc>
        <w:tc>
          <w:tcPr>
            <w:tcW w:w="1448" w:type="dxa"/>
            <w:hideMark/>
          </w:tcPr>
          <w:p w:rsidR="00355749" w:rsidRDefault="00355749" w:rsidP="00654E41">
            <w:pPr>
              <w:pStyle w:val="NormalWeb"/>
              <w:jc w:val="center"/>
            </w:pPr>
            <w:r>
              <w:t>10.3</w:t>
            </w:r>
          </w:p>
        </w:tc>
      </w:tr>
      <w:tr w:rsidR="00654E41" w:rsidTr="00056CB0">
        <w:trPr>
          <w:cnfStyle w:val="000000010000" w:firstRow="0" w:lastRow="0" w:firstColumn="0" w:lastColumn="0" w:oddVBand="0" w:evenVBand="0" w:oddHBand="0" w:evenHBand="1" w:firstRowFirstColumn="0" w:firstRowLastColumn="0" w:lastRowFirstColumn="0" w:lastRowLastColumn="0"/>
        </w:trPr>
        <w:tc>
          <w:tcPr>
            <w:tcW w:w="1701" w:type="dxa"/>
            <w:hideMark/>
          </w:tcPr>
          <w:p w:rsidR="00355749" w:rsidRDefault="00056CB0" w:rsidP="00056CB0">
            <w:pPr>
              <w:pStyle w:val="NormalWeb"/>
            </w:pPr>
            <w:r>
              <w:t xml:space="preserve">NT </w:t>
            </w:r>
            <w:r w:rsidR="00355749">
              <w:t>remote</w:t>
            </w:r>
          </w:p>
        </w:tc>
        <w:tc>
          <w:tcPr>
            <w:tcW w:w="1701" w:type="dxa"/>
            <w:hideMark/>
          </w:tcPr>
          <w:p w:rsidR="00355749" w:rsidRDefault="00355749" w:rsidP="00654E41">
            <w:pPr>
              <w:pStyle w:val="NormalWeb"/>
              <w:jc w:val="center"/>
            </w:pPr>
            <w:r>
              <w:t>157</w:t>
            </w:r>
          </w:p>
        </w:tc>
        <w:tc>
          <w:tcPr>
            <w:tcW w:w="1447" w:type="dxa"/>
            <w:hideMark/>
          </w:tcPr>
          <w:p w:rsidR="00355749" w:rsidRDefault="00355749" w:rsidP="00654E41">
            <w:pPr>
              <w:pStyle w:val="NormalWeb"/>
              <w:jc w:val="center"/>
            </w:pPr>
            <w:r>
              <w:t>0</w:t>
            </w:r>
          </w:p>
        </w:tc>
        <w:tc>
          <w:tcPr>
            <w:tcW w:w="1448" w:type="dxa"/>
            <w:hideMark/>
          </w:tcPr>
          <w:p w:rsidR="00355749" w:rsidRDefault="00355749" w:rsidP="00654E41">
            <w:pPr>
              <w:pStyle w:val="NormalWeb"/>
              <w:jc w:val="center"/>
            </w:pPr>
            <w:r>
              <w:t>0</w:t>
            </w:r>
          </w:p>
        </w:tc>
        <w:tc>
          <w:tcPr>
            <w:tcW w:w="1448" w:type="dxa"/>
            <w:hideMark/>
          </w:tcPr>
          <w:p w:rsidR="00355749" w:rsidRDefault="00355749" w:rsidP="00654E41">
            <w:pPr>
              <w:pStyle w:val="NormalWeb"/>
              <w:jc w:val="center"/>
            </w:pPr>
            <w:r>
              <w:t>0</w:t>
            </w:r>
          </w:p>
        </w:tc>
        <w:tc>
          <w:tcPr>
            <w:tcW w:w="1448" w:type="dxa"/>
            <w:hideMark/>
          </w:tcPr>
          <w:p w:rsidR="00355749" w:rsidRDefault="00355749" w:rsidP="00654E41">
            <w:pPr>
              <w:pStyle w:val="NormalWeb"/>
              <w:jc w:val="center"/>
            </w:pPr>
            <w:r>
              <w:t>0</w:t>
            </w:r>
          </w:p>
        </w:tc>
        <w:tc>
          <w:tcPr>
            <w:tcW w:w="1447" w:type="dxa"/>
            <w:hideMark/>
          </w:tcPr>
          <w:p w:rsidR="00355749" w:rsidRDefault="00355749" w:rsidP="00654E41">
            <w:pPr>
              <w:pStyle w:val="NormalWeb"/>
              <w:jc w:val="center"/>
            </w:pPr>
            <w:r>
              <w:t>3</w:t>
            </w:r>
          </w:p>
        </w:tc>
        <w:tc>
          <w:tcPr>
            <w:tcW w:w="1448" w:type="dxa"/>
            <w:hideMark/>
          </w:tcPr>
          <w:p w:rsidR="00355749" w:rsidRDefault="00355749" w:rsidP="00654E41">
            <w:pPr>
              <w:pStyle w:val="NormalWeb"/>
              <w:jc w:val="center"/>
            </w:pPr>
            <w:r>
              <w:t>1.9</w:t>
            </w:r>
          </w:p>
        </w:tc>
        <w:tc>
          <w:tcPr>
            <w:tcW w:w="1448" w:type="dxa"/>
            <w:hideMark/>
          </w:tcPr>
          <w:p w:rsidR="00355749" w:rsidRDefault="00355749" w:rsidP="00654E41">
            <w:pPr>
              <w:pStyle w:val="NormalWeb"/>
              <w:jc w:val="center"/>
            </w:pPr>
            <w:r>
              <w:t>3</w:t>
            </w:r>
          </w:p>
        </w:tc>
        <w:tc>
          <w:tcPr>
            <w:tcW w:w="1448" w:type="dxa"/>
            <w:hideMark/>
          </w:tcPr>
          <w:p w:rsidR="00355749" w:rsidRDefault="00355749" w:rsidP="00654E41">
            <w:pPr>
              <w:pStyle w:val="NormalWeb"/>
              <w:jc w:val="center"/>
            </w:pPr>
            <w:r>
              <w:t>1.9</w:t>
            </w:r>
          </w:p>
        </w:tc>
      </w:tr>
      <w:tr w:rsidR="00D35986" w:rsidTr="00056CB0">
        <w:tc>
          <w:tcPr>
            <w:tcW w:w="1701" w:type="dxa"/>
            <w:hideMark/>
          </w:tcPr>
          <w:p w:rsidR="00355749" w:rsidRDefault="00056CB0" w:rsidP="00056CB0">
            <w:pPr>
              <w:pStyle w:val="NormalWeb"/>
            </w:pPr>
            <w:r>
              <w:t xml:space="preserve">WA </w:t>
            </w:r>
            <w:r w:rsidR="00355749">
              <w:t>non-remote</w:t>
            </w:r>
          </w:p>
        </w:tc>
        <w:tc>
          <w:tcPr>
            <w:tcW w:w="1701" w:type="dxa"/>
            <w:hideMark/>
          </w:tcPr>
          <w:p w:rsidR="00355749" w:rsidRDefault="00355749" w:rsidP="00654E41">
            <w:pPr>
              <w:pStyle w:val="NormalWeb"/>
              <w:jc w:val="center"/>
            </w:pPr>
            <w:r>
              <w:t>652</w:t>
            </w:r>
          </w:p>
        </w:tc>
        <w:tc>
          <w:tcPr>
            <w:tcW w:w="1447" w:type="dxa"/>
            <w:hideMark/>
          </w:tcPr>
          <w:p w:rsidR="00355749" w:rsidRDefault="00355749" w:rsidP="00654E41">
            <w:pPr>
              <w:pStyle w:val="NormalWeb"/>
              <w:jc w:val="center"/>
            </w:pPr>
            <w:r>
              <w:t>14</w:t>
            </w:r>
          </w:p>
        </w:tc>
        <w:tc>
          <w:tcPr>
            <w:tcW w:w="1448" w:type="dxa"/>
            <w:hideMark/>
          </w:tcPr>
          <w:p w:rsidR="00355749" w:rsidRDefault="00355749" w:rsidP="00654E41">
            <w:pPr>
              <w:pStyle w:val="NormalWeb"/>
              <w:jc w:val="center"/>
            </w:pPr>
            <w:r>
              <w:t>2.1</w:t>
            </w:r>
          </w:p>
        </w:tc>
        <w:tc>
          <w:tcPr>
            <w:tcW w:w="1448" w:type="dxa"/>
            <w:hideMark/>
          </w:tcPr>
          <w:p w:rsidR="00355749" w:rsidRDefault="00355749" w:rsidP="00654E41">
            <w:pPr>
              <w:pStyle w:val="NormalWeb"/>
              <w:jc w:val="center"/>
            </w:pPr>
            <w:r>
              <w:t>16</w:t>
            </w:r>
          </w:p>
        </w:tc>
        <w:tc>
          <w:tcPr>
            <w:tcW w:w="1448" w:type="dxa"/>
            <w:hideMark/>
          </w:tcPr>
          <w:p w:rsidR="00355749" w:rsidRDefault="00355749" w:rsidP="00654E41">
            <w:pPr>
              <w:pStyle w:val="NormalWeb"/>
              <w:jc w:val="center"/>
            </w:pPr>
            <w:r>
              <w:t>2.5</w:t>
            </w:r>
          </w:p>
        </w:tc>
        <w:tc>
          <w:tcPr>
            <w:tcW w:w="1447" w:type="dxa"/>
            <w:hideMark/>
          </w:tcPr>
          <w:p w:rsidR="00355749" w:rsidRDefault="00355749" w:rsidP="00654E41">
            <w:pPr>
              <w:pStyle w:val="NormalWeb"/>
              <w:jc w:val="center"/>
            </w:pPr>
            <w:r>
              <w:t>155</w:t>
            </w:r>
          </w:p>
        </w:tc>
        <w:tc>
          <w:tcPr>
            <w:tcW w:w="1448" w:type="dxa"/>
            <w:hideMark/>
          </w:tcPr>
          <w:p w:rsidR="00355749" w:rsidRDefault="00355749" w:rsidP="00654E41">
            <w:pPr>
              <w:pStyle w:val="NormalWeb"/>
              <w:jc w:val="center"/>
            </w:pPr>
            <w:r>
              <w:t>23.8</w:t>
            </w:r>
          </w:p>
        </w:tc>
        <w:tc>
          <w:tcPr>
            <w:tcW w:w="1448" w:type="dxa"/>
            <w:hideMark/>
          </w:tcPr>
          <w:p w:rsidR="00355749" w:rsidRDefault="00355749" w:rsidP="00654E41">
            <w:pPr>
              <w:pStyle w:val="NormalWeb"/>
              <w:jc w:val="center"/>
            </w:pPr>
            <w:r>
              <w:t>173</w:t>
            </w:r>
          </w:p>
        </w:tc>
        <w:tc>
          <w:tcPr>
            <w:tcW w:w="1448" w:type="dxa"/>
            <w:hideMark/>
          </w:tcPr>
          <w:p w:rsidR="00355749" w:rsidRDefault="00355749" w:rsidP="00654E41">
            <w:pPr>
              <w:pStyle w:val="NormalWeb"/>
              <w:jc w:val="center"/>
            </w:pPr>
            <w:r>
              <w:t>26.5</w:t>
            </w:r>
          </w:p>
        </w:tc>
      </w:tr>
      <w:tr w:rsidR="00654E41" w:rsidTr="00056CB0">
        <w:trPr>
          <w:cnfStyle w:val="000000010000" w:firstRow="0" w:lastRow="0" w:firstColumn="0" w:lastColumn="0" w:oddVBand="0" w:evenVBand="0" w:oddHBand="0" w:evenHBand="1" w:firstRowFirstColumn="0" w:firstRowLastColumn="0" w:lastRowFirstColumn="0" w:lastRowLastColumn="0"/>
        </w:trPr>
        <w:tc>
          <w:tcPr>
            <w:tcW w:w="1701" w:type="dxa"/>
            <w:hideMark/>
          </w:tcPr>
          <w:p w:rsidR="00355749" w:rsidRDefault="00056CB0" w:rsidP="00056CB0">
            <w:pPr>
              <w:pStyle w:val="NormalWeb"/>
            </w:pPr>
            <w:r>
              <w:t xml:space="preserve">WA </w:t>
            </w:r>
            <w:r w:rsidR="00355749">
              <w:t>remote</w:t>
            </w:r>
          </w:p>
        </w:tc>
        <w:tc>
          <w:tcPr>
            <w:tcW w:w="1701" w:type="dxa"/>
            <w:hideMark/>
          </w:tcPr>
          <w:p w:rsidR="00355749" w:rsidRDefault="00355749" w:rsidP="00654E41">
            <w:pPr>
              <w:pStyle w:val="NormalWeb"/>
              <w:jc w:val="center"/>
            </w:pPr>
            <w:r>
              <w:t>108</w:t>
            </w:r>
          </w:p>
        </w:tc>
        <w:tc>
          <w:tcPr>
            <w:tcW w:w="1447" w:type="dxa"/>
            <w:hideMark/>
          </w:tcPr>
          <w:p w:rsidR="00355749" w:rsidRDefault="00355749" w:rsidP="00654E41">
            <w:pPr>
              <w:pStyle w:val="NormalWeb"/>
              <w:jc w:val="center"/>
            </w:pPr>
            <w:r>
              <w:t>0</w:t>
            </w:r>
          </w:p>
        </w:tc>
        <w:tc>
          <w:tcPr>
            <w:tcW w:w="1448" w:type="dxa"/>
            <w:hideMark/>
          </w:tcPr>
          <w:p w:rsidR="00355749" w:rsidRDefault="00355749" w:rsidP="00654E41">
            <w:pPr>
              <w:pStyle w:val="NormalWeb"/>
              <w:jc w:val="center"/>
            </w:pPr>
            <w:r>
              <w:t>0</w:t>
            </w:r>
          </w:p>
        </w:tc>
        <w:tc>
          <w:tcPr>
            <w:tcW w:w="1448" w:type="dxa"/>
            <w:hideMark/>
          </w:tcPr>
          <w:p w:rsidR="00355749" w:rsidRDefault="00355749" w:rsidP="00654E41">
            <w:pPr>
              <w:pStyle w:val="NormalWeb"/>
              <w:jc w:val="center"/>
            </w:pPr>
            <w:r>
              <w:t>1</w:t>
            </w:r>
          </w:p>
        </w:tc>
        <w:tc>
          <w:tcPr>
            <w:tcW w:w="1448" w:type="dxa"/>
            <w:hideMark/>
          </w:tcPr>
          <w:p w:rsidR="00355749" w:rsidRDefault="00355749" w:rsidP="00654E41">
            <w:pPr>
              <w:pStyle w:val="NormalWeb"/>
              <w:jc w:val="center"/>
            </w:pPr>
            <w:r>
              <w:t>0.9</w:t>
            </w:r>
          </w:p>
        </w:tc>
        <w:tc>
          <w:tcPr>
            <w:tcW w:w="1447" w:type="dxa"/>
            <w:hideMark/>
          </w:tcPr>
          <w:p w:rsidR="00355749" w:rsidRDefault="00355749" w:rsidP="00654E41">
            <w:pPr>
              <w:pStyle w:val="NormalWeb"/>
              <w:jc w:val="center"/>
            </w:pPr>
            <w:r>
              <w:t>7</w:t>
            </w:r>
          </w:p>
        </w:tc>
        <w:tc>
          <w:tcPr>
            <w:tcW w:w="1448" w:type="dxa"/>
            <w:hideMark/>
          </w:tcPr>
          <w:p w:rsidR="00355749" w:rsidRDefault="00355749" w:rsidP="00654E41">
            <w:pPr>
              <w:pStyle w:val="NormalWeb"/>
              <w:jc w:val="center"/>
            </w:pPr>
            <w:r>
              <w:t>6.5</w:t>
            </w:r>
          </w:p>
        </w:tc>
        <w:tc>
          <w:tcPr>
            <w:tcW w:w="1448" w:type="dxa"/>
            <w:hideMark/>
          </w:tcPr>
          <w:p w:rsidR="00355749" w:rsidRDefault="00355749" w:rsidP="00654E41">
            <w:pPr>
              <w:pStyle w:val="NormalWeb"/>
              <w:jc w:val="center"/>
            </w:pPr>
            <w:r>
              <w:t>5</w:t>
            </w:r>
          </w:p>
        </w:tc>
        <w:tc>
          <w:tcPr>
            <w:tcW w:w="1448" w:type="dxa"/>
            <w:hideMark/>
          </w:tcPr>
          <w:p w:rsidR="00355749" w:rsidRDefault="00355749" w:rsidP="00654E41">
            <w:pPr>
              <w:pStyle w:val="NormalWeb"/>
              <w:jc w:val="center"/>
            </w:pPr>
            <w:r>
              <w:t>4.6</w:t>
            </w:r>
          </w:p>
        </w:tc>
      </w:tr>
      <w:tr w:rsidR="00D35986" w:rsidTr="00D875E1">
        <w:tc>
          <w:tcPr>
            <w:tcW w:w="1701" w:type="dxa"/>
            <w:shd w:val="clear" w:color="auto" w:fill="FDE9D9" w:themeFill="accent6" w:themeFillTint="33"/>
            <w:hideMark/>
          </w:tcPr>
          <w:p w:rsidR="00355749" w:rsidRDefault="00355749">
            <w:pPr>
              <w:pStyle w:val="NormalWeb"/>
            </w:pPr>
            <w:r>
              <w:t>Australia</w:t>
            </w:r>
          </w:p>
        </w:tc>
        <w:tc>
          <w:tcPr>
            <w:tcW w:w="1701" w:type="dxa"/>
            <w:shd w:val="clear" w:color="auto" w:fill="FDE9D9" w:themeFill="accent6" w:themeFillTint="33"/>
            <w:hideMark/>
          </w:tcPr>
          <w:p w:rsidR="00355749" w:rsidRDefault="00355749" w:rsidP="00654E41">
            <w:pPr>
              <w:pStyle w:val="NormalWeb"/>
              <w:jc w:val="center"/>
            </w:pPr>
            <w:r>
              <w:t>9,006</w:t>
            </w:r>
          </w:p>
        </w:tc>
        <w:tc>
          <w:tcPr>
            <w:tcW w:w="1447" w:type="dxa"/>
            <w:shd w:val="clear" w:color="auto" w:fill="FDE9D9" w:themeFill="accent6" w:themeFillTint="33"/>
            <w:hideMark/>
          </w:tcPr>
          <w:p w:rsidR="00355749" w:rsidRDefault="00355749" w:rsidP="00654E41">
            <w:pPr>
              <w:pStyle w:val="NormalWeb"/>
              <w:jc w:val="center"/>
            </w:pPr>
            <w:r>
              <w:t>156</w:t>
            </w:r>
          </w:p>
        </w:tc>
        <w:tc>
          <w:tcPr>
            <w:tcW w:w="1448" w:type="dxa"/>
            <w:shd w:val="clear" w:color="auto" w:fill="FDE9D9" w:themeFill="accent6" w:themeFillTint="33"/>
            <w:hideMark/>
          </w:tcPr>
          <w:p w:rsidR="00355749" w:rsidRDefault="00355749" w:rsidP="00654E41">
            <w:pPr>
              <w:pStyle w:val="NormalWeb"/>
              <w:jc w:val="center"/>
            </w:pPr>
            <w:r>
              <w:t>1.73</w:t>
            </w:r>
          </w:p>
        </w:tc>
        <w:tc>
          <w:tcPr>
            <w:tcW w:w="1448" w:type="dxa"/>
            <w:shd w:val="clear" w:color="auto" w:fill="FDE9D9" w:themeFill="accent6" w:themeFillTint="33"/>
            <w:hideMark/>
          </w:tcPr>
          <w:p w:rsidR="00355749" w:rsidRDefault="00355749" w:rsidP="00654E41">
            <w:pPr>
              <w:pStyle w:val="NormalWeb"/>
              <w:jc w:val="center"/>
            </w:pPr>
            <w:r>
              <w:t>561</w:t>
            </w:r>
          </w:p>
        </w:tc>
        <w:tc>
          <w:tcPr>
            <w:tcW w:w="1448" w:type="dxa"/>
            <w:shd w:val="clear" w:color="auto" w:fill="FDE9D9" w:themeFill="accent6" w:themeFillTint="33"/>
            <w:hideMark/>
          </w:tcPr>
          <w:p w:rsidR="00355749" w:rsidRDefault="00355749" w:rsidP="00654E41">
            <w:pPr>
              <w:pStyle w:val="NormalWeb"/>
              <w:jc w:val="center"/>
            </w:pPr>
            <w:r>
              <w:t>6.2</w:t>
            </w:r>
          </w:p>
        </w:tc>
        <w:tc>
          <w:tcPr>
            <w:tcW w:w="1447" w:type="dxa"/>
            <w:shd w:val="clear" w:color="auto" w:fill="FDE9D9" w:themeFill="accent6" w:themeFillTint="33"/>
            <w:hideMark/>
          </w:tcPr>
          <w:p w:rsidR="00355749" w:rsidRDefault="00355749" w:rsidP="00654E41">
            <w:pPr>
              <w:pStyle w:val="NormalWeb"/>
              <w:jc w:val="center"/>
            </w:pPr>
            <w:r>
              <w:t>1,897</w:t>
            </w:r>
          </w:p>
        </w:tc>
        <w:tc>
          <w:tcPr>
            <w:tcW w:w="1448" w:type="dxa"/>
            <w:shd w:val="clear" w:color="auto" w:fill="FDE9D9" w:themeFill="accent6" w:themeFillTint="33"/>
            <w:hideMark/>
          </w:tcPr>
          <w:p w:rsidR="00355749" w:rsidRDefault="00355749" w:rsidP="00654E41">
            <w:pPr>
              <w:pStyle w:val="NormalWeb"/>
              <w:jc w:val="center"/>
            </w:pPr>
            <w:r>
              <w:t>21.1</w:t>
            </w:r>
          </w:p>
        </w:tc>
        <w:tc>
          <w:tcPr>
            <w:tcW w:w="1448" w:type="dxa"/>
            <w:shd w:val="clear" w:color="auto" w:fill="FDE9D9" w:themeFill="accent6" w:themeFillTint="33"/>
            <w:hideMark/>
          </w:tcPr>
          <w:p w:rsidR="00355749" w:rsidRDefault="00355749" w:rsidP="00654E41">
            <w:pPr>
              <w:pStyle w:val="NormalWeb"/>
              <w:jc w:val="center"/>
            </w:pPr>
            <w:r>
              <w:t>2,303</w:t>
            </w:r>
          </w:p>
        </w:tc>
        <w:tc>
          <w:tcPr>
            <w:tcW w:w="1448" w:type="dxa"/>
            <w:shd w:val="clear" w:color="auto" w:fill="FDE9D9" w:themeFill="accent6" w:themeFillTint="33"/>
            <w:hideMark/>
          </w:tcPr>
          <w:p w:rsidR="00355749" w:rsidRDefault="00355749" w:rsidP="00654E41">
            <w:pPr>
              <w:pStyle w:val="NormalWeb"/>
              <w:jc w:val="center"/>
            </w:pPr>
            <w:r>
              <w:t>25.6</w:t>
            </w:r>
          </w:p>
        </w:tc>
      </w:tr>
    </w:tbl>
    <w:p w:rsidR="00355749" w:rsidRPr="004D0FBF" w:rsidRDefault="00355749" w:rsidP="004D0FBF">
      <w:pPr>
        <w:pStyle w:val="CDIfootnotes"/>
      </w:pPr>
      <w:proofErr w:type="gramStart"/>
      <w:r w:rsidRPr="004D0FBF">
        <w:t>a</w:t>
      </w:r>
      <w:proofErr w:type="gramEnd"/>
      <w:r w:rsidRPr="004D0FBF">
        <w:tab/>
        <w:t>Number of isolates resistant to both penicillin and ciprofloxacin = 120</w:t>
      </w:r>
    </w:p>
    <w:p w:rsidR="00057079" w:rsidRDefault="00057079" w:rsidP="00FC3C3B">
      <w:pPr>
        <w:pStyle w:val="Heading2"/>
        <w:sectPr w:rsidR="00057079" w:rsidSect="00057079">
          <w:pgSz w:w="16838" w:h="11906" w:orient="landscape"/>
          <w:pgMar w:top="720" w:right="720" w:bottom="720" w:left="1134" w:header="709" w:footer="284" w:gutter="0"/>
          <w:cols w:space="708"/>
          <w:titlePg/>
          <w:docGrid w:linePitch="360"/>
        </w:sectPr>
      </w:pPr>
    </w:p>
    <w:p w:rsidR="00355749" w:rsidRPr="00CC0BCB" w:rsidRDefault="00355749" w:rsidP="00CC0BCB">
      <w:pPr>
        <w:pStyle w:val="Heading2"/>
      </w:pPr>
      <w:r w:rsidRPr="00CC0BCB">
        <w:lastRenderedPageBreak/>
        <w:t xml:space="preserve">Ceftriaxone </w:t>
      </w:r>
    </w:p>
    <w:p w:rsidR="00355749" w:rsidRDefault="00355749" w:rsidP="00CC0BCB">
      <w:r>
        <w:t>Gonococcal isolates with decreased susceptibility to ceftriaxone (MIC values ≥0.06 mg/L) have been detected in Australia since 2001; the proportion increased to 4.4% in 2012, before doubling to 8.8% in 2013. From 2014, coincident with the introduction of dual ceftriaxone and azithromycin therapy, the proportion of isolates with decreased susceptibility to ceftriaxone fell annually to 1.06% in 2017 before increasing slightly to 1.73% in 2018 (see Table 4 and Table 5). From 2010, the proportion of isolates with an MIC value of ≥0.125 mg/L increased from 0.1% to 0.6% in 2013–2014 and then decreased to 0.04% in 2017. In 2018, an increase to 0.06% was observed as shown in Table 5. Gonococcal isolates from two patients from Queensland, not determined to be contacts, were found to be extensively drug-resistant (XDR) with ceftriaxone MIC values of 0.50 mg/L, high-level resistance to azithromycin (MIC ≥ 256 mg/L) and resistance to penicillin and ciprofloxacin. One had a history of travel to South East Asia.</w:t>
      </w:r>
    </w:p>
    <w:p w:rsidR="00897DD8" w:rsidRDefault="00897DD8" w:rsidP="00897DD8">
      <w:pPr>
        <w:pStyle w:val="CDIFigures"/>
        <w:sectPr w:rsidR="00897DD8" w:rsidSect="00A30C37">
          <w:pgSz w:w="11906" w:h="16838"/>
          <w:pgMar w:top="720" w:right="720" w:bottom="1134" w:left="720" w:header="709" w:footer="284" w:gutter="0"/>
          <w:cols w:space="708"/>
          <w:titlePg/>
          <w:docGrid w:linePitch="360"/>
        </w:sectPr>
      </w:pPr>
    </w:p>
    <w:p w:rsidR="00355749" w:rsidRPr="00EB18D4" w:rsidRDefault="00355749" w:rsidP="00897DD8">
      <w:pPr>
        <w:pStyle w:val="CDIFigures"/>
      </w:pPr>
      <w:r w:rsidRPr="00EB18D4">
        <w:lastRenderedPageBreak/>
        <w:t>Table 4: Number and proportion (%) of gonococcal isolates with decreased susceptibility to ceftriaxone (MIC ≥0.06 mg/L), Australia, 2010 to 2018, by state or territory. Remote Western Australian data was de-aggregated from 2014.</w:t>
      </w:r>
    </w:p>
    <w:tbl>
      <w:tblPr>
        <w:tblStyle w:val="CDI-StandardTable"/>
        <w:tblW w:w="15120" w:type="dxa"/>
        <w:tblCellMar>
          <w:top w:w="113" w:type="dxa"/>
          <w:left w:w="113" w:type="dxa"/>
          <w:bottom w:w="113" w:type="dxa"/>
          <w:right w:w="113" w:type="dxa"/>
        </w:tblCellMar>
        <w:tblLook w:val="04A0" w:firstRow="1" w:lastRow="0" w:firstColumn="1" w:lastColumn="0" w:noHBand="0" w:noVBand="1"/>
        <w:tblDescription w:val="shows the number and proportion as a percentage of gonococcal isolates with decreased susceptibility to ceftriaxone an (defined in this program as an MIC value in the range ≥0.06mg/L, over the years 2010 to 2018, by state or territory. In Australia the proportion has increased from 2.0% in 2009 to 4.4% in 2012, which then doubled to 8.8% in 2013. It has then showed a decrease to 5.4% in 2014, 1.7 to 1.8% in 2015 and 2016, a further decrease in 2018 to 1.06%, and a slight increase in 2018 to 1.7%. Remote Western Australian data was de-aggregated from 2014."/>
      </w:tblPr>
      <w:tblGrid>
        <w:gridCol w:w="1706"/>
        <w:gridCol w:w="745"/>
        <w:gridCol w:w="745"/>
        <w:gridCol w:w="745"/>
        <w:gridCol w:w="745"/>
        <w:gridCol w:w="746"/>
        <w:gridCol w:w="745"/>
        <w:gridCol w:w="745"/>
        <w:gridCol w:w="745"/>
        <w:gridCol w:w="746"/>
        <w:gridCol w:w="745"/>
        <w:gridCol w:w="745"/>
        <w:gridCol w:w="745"/>
        <w:gridCol w:w="745"/>
        <w:gridCol w:w="746"/>
        <w:gridCol w:w="745"/>
        <w:gridCol w:w="745"/>
        <w:gridCol w:w="745"/>
        <w:gridCol w:w="746"/>
      </w:tblGrid>
      <w:tr w:rsidR="00355749" w:rsidTr="000C4002">
        <w:trPr>
          <w:cnfStyle w:val="100000000000" w:firstRow="1" w:lastRow="0" w:firstColumn="0" w:lastColumn="0" w:oddVBand="0" w:evenVBand="0" w:oddHBand="0" w:evenHBand="0" w:firstRowFirstColumn="0" w:firstRowLastColumn="0" w:lastRowFirstColumn="0" w:lastRowLastColumn="0"/>
          <w:tblHeader/>
        </w:trPr>
        <w:tc>
          <w:tcPr>
            <w:tcW w:w="0" w:type="auto"/>
            <w:vMerge w:val="restart"/>
            <w:tcBorders>
              <w:bottom w:val="single" w:sz="4" w:space="0" w:color="FFFFFF" w:themeColor="background1"/>
              <w:right w:val="single" w:sz="4" w:space="0" w:color="FFFFFF" w:themeColor="background1"/>
            </w:tcBorders>
            <w:hideMark/>
          </w:tcPr>
          <w:p w:rsidR="00355749" w:rsidRPr="00EB18D4" w:rsidRDefault="00355749">
            <w:pPr>
              <w:pStyle w:val="NormalWeb"/>
              <w:rPr>
                <w:color w:val="FFFFFF" w:themeColor="background1"/>
              </w:rPr>
            </w:pPr>
            <w:r w:rsidRPr="00EB18D4">
              <w:rPr>
                <w:color w:val="FFFFFF" w:themeColor="background1"/>
              </w:rPr>
              <w:t>Jurisdiction</w:t>
            </w:r>
          </w:p>
        </w:tc>
        <w:tc>
          <w:tcPr>
            <w:tcW w:w="13414" w:type="dxa"/>
            <w:gridSpan w:val="18"/>
            <w:tcBorders>
              <w:left w:val="single" w:sz="4" w:space="0" w:color="FFFFFF" w:themeColor="background1"/>
              <w:bottom w:val="single" w:sz="4" w:space="0" w:color="FFFFFF" w:themeColor="background1"/>
            </w:tcBorders>
            <w:hideMark/>
          </w:tcPr>
          <w:p w:rsidR="00355749" w:rsidRPr="00EB18D4" w:rsidRDefault="00355749" w:rsidP="00DD14CB">
            <w:pPr>
              <w:pStyle w:val="NormalWeb"/>
              <w:jc w:val="center"/>
              <w:rPr>
                <w:color w:val="FFFFFF" w:themeColor="background1"/>
              </w:rPr>
            </w:pPr>
            <w:r w:rsidRPr="00EB18D4">
              <w:rPr>
                <w:color w:val="FFFFFF" w:themeColor="background1"/>
              </w:rPr>
              <w:t>Decreased susceptibility to ceftriaxone</w:t>
            </w:r>
          </w:p>
        </w:tc>
      </w:tr>
      <w:tr w:rsidR="00FC33AF" w:rsidTr="000C4002">
        <w:trPr>
          <w:cnfStyle w:val="100000000000" w:firstRow="1" w:lastRow="0" w:firstColumn="0" w:lastColumn="0" w:oddVBand="0" w:evenVBand="0" w:oddHBand="0" w:evenHBand="0" w:firstRowFirstColumn="0" w:firstRowLastColumn="0" w:lastRowFirstColumn="0" w:lastRowLastColumn="0"/>
          <w:tblHeader/>
        </w:trPr>
        <w:tc>
          <w:tcPr>
            <w:tcW w:w="0" w:type="auto"/>
            <w:vMerge/>
            <w:tcBorders>
              <w:top w:val="single" w:sz="4" w:space="0" w:color="FFFFFF" w:themeColor="background1"/>
              <w:bottom w:val="single" w:sz="4" w:space="0" w:color="FFFFFF" w:themeColor="background1"/>
              <w:right w:val="single" w:sz="4" w:space="0" w:color="FFFFFF" w:themeColor="background1"/>
            </w:tcBorders>
            <w:hideMark/>
          </w:tcPr>
          <w:p w:rsidR="00355749" w:rsidRPr="00EB18D4" w:rsidRDefault="00355749">
            <w:pPr>
              <w:rPr>
                <w:color w:val="FFFFFF" w:themeColor="background1"/>
                <w:sz w:val="24"/>
                <w:szCs w:val="24"/>
              </w:rPr>
            </w:pPr>
          </w:p>
        </w:tc>
        <w:tc>
          <w:tcPr>
            <w:tcW w:w="149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355749" w:rsidRPr="00EB18D4" w:rsidRDefault="00355749" w:rsidP="00DD14CB">
            <w:pPr>
              <w:pStyle w:val="NormalWeb"/>
              <w:jc w:val="center"/>
              <w:rPr>
                <w:color w:val="FFFFFF" w:themeColor="background1"/>
              </w:rPr>
            </w:pPr>
            <w:r w:rsidRPr="00EB18D4">
              <w:rPr>
                <w:color w:val="FFFFFF" w:themeColor="background1"/>
              </w:rPr>
              <w:t>2010</w:t>
            </w:r>
          </w:p>
        </w:tc>
        <w:tc>
          <w:tcPr>
            <w:tcW w:w="149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355749" w:rsidRPr="00EB18D4" w:rsidRDefault="00355749" w:rsidP="00DD14CB">
            <w:pPr>
              <w:pStyle w:val="NormalWeb"/>
              <w:jc w:val="center"/>
              <w:rPr>
                <w:color w:val="FFFFFF" w:themeColor="background1"/>
              </w:rPr>
            </w:pPr>
            <w:r w:rsidRPr="00EB18D4">
              <w:rPr>
                <w:color w:val="FFFFFF" w:themeColor="background1"/>
              </w:rPr>
              <w:t>2011</w:t>
            </w:r>
          </w:p>
        </w:tc>
        <w:tc>
          <w:tcPr>
            <w:tcW w:w="1491"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355749" w:rsidRPr="00EB18D4" w:rsidRDefault="00355749" w:rsidP="00DD14CB">
            <w:pPr>
              <w:pStyle w:val="NormalWeb"/>
              <w:jc w:val="center"/>
              <w:rPr>
                <w:color w:val="FFFFFF" w:themeColor="background1"/>
              </w:rPr>
            </w:pPr>
            <w:r w:rsidRPr="00EB18D4">
              <w:rPr>
                <w:color w:val="FFFFFF" w:themeColor="background1"/>
              </w:rPr>
              <w:t>2012</w:t>
            </w:r>
          </w:p>
        </w:tc>
        <w:tc>
          <w:tcPr>
            <w:tcW w:w="149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355749" w:rsidRPr="00EB18D4" w:rsidRDefault="00355749" w:rsidP="00DD14CB">
            <w:pPr>
              <w:pStyle w:val="NormalWeb"/>
              <w:jc w:val="center"/>
              <w:rPr>
                <w:color w:val="FFFFFF" w:themeColor="background1"/>
              </w:rPr>
            </w:pPr>
            <w:r w:rsidRPr="00EB18D4">
              <w:rPr>
                <w:color w:val="FFFFFF" w:themeColor="background1"/>
              </w:rPr>
              <w:t>2013</w:t>
            </w:r>
          </w:p>
        </w:tc>
        <w:tc>
          <w:tcPr>
            <w:tcW w:w="1491"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355749" w:rsidRPr="00EB18D4" w:rsidRDefault="00355749" w:rsidP="00DD14CB">
            <w:pPr>
              <w:pStyle w:val="NormalWeb"/>
              <w:jc w:val="center"/>
              <w:rPr>
                <w:color w:val="FFFFFF" w:themeColor="background1"/>
              </w:rPr>
            </w:pPr>
            <w:r w:rsidRPr="00EB18D4">
              <w:rPr>
                <w:color w:val="FFFFFF" w:themeColor="background1"/>
              </w:rPr>
              <w:t>2014</w:t>
            </w:r>
          </w:p>
        </w:tc>
        <w:tc>
          <w:tcPr>
            <w:tcW w:w="149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355749" w:rsidRPr="00EB18D4" w:rsidRDefault="00355749" w:rsidP="00DD14CB">
            <w:pPr>
              <w:pStyle w:val="NormalWeb"/>
              <w:jc w:val="center"/>
              <w:rPr>
                <w:color w:val="FFFFFF" w:themeColor="background1"/>
              </w:rPr>
            </w:pPr>
            <w:r w:rsidRPr="00EB18D4">
              <w:rPr>
                <w:color w:val="FFFFFF" w:themeColor="background1"/>
              </w:rPr>
              <w:t>2015</w:t>
            </w:r>
          </w:p>
        </w:tc>
        <w:tc>
          <w:tcPr>
            <w:tcW w:w="1491"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355749" w:rsidRPr="00EB18D4" w:rsidRDefault="00355749" w:rsidP="00DD14CB">
            <w:pPr>
              <w:pStyle w:val="NormalWeb"/>
              <w:jc w:val="center"/>
              <w:rPr>
                <w:color w:val="FFFFFF" w:themeColor="background1"/>
              </w:rPr>
            </w:pPr>
            <w:r w:rsidRPr="00EB18D4">
              <w:rPr>
                <w:color w:val="FFFFFF" w:themeColor="background1"/>
              </w:rPr>
              <w:t>2016</w:t>
            </w:r>
          </w:p>
        </w:tc>
        <w:tc>
          <w:tcPr>
            <w:tcW w:w="149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355749" w:rsidRPr="00EB18D4" w:rsidRDefault="00355749" w:rsidP="00DD14CB">
            <w:pPr>
              <w:pStyle w:val="NormalWeb"/>
              <w:jc w:val="center"/>
              <w:rPr>
                <w:color w:val="FFFFFF" w:themeColor="background1"/>
              </w:rPr>
            </w:pPr>
            <w:r w:rsidRPr="00EB18D4">
              <w:rPr>
                <w:color w:val="FFFFFF" w:themeColor="background1"/>
              </w:rPr>
              <w:t>2017</w:t>
            </w:r>
          </w:p>
        </w:tc>
        <w:tc>
          <w:tcPr>
            <w:tcW w:w="1491" w:type="dxa"/>
            <w:gridSpan w:val="2"/>
            <w:tcBorders>
              <w:top w:val="single" w:sz="4" w:space="0" w:color="FFFFFF" w:themeColor="background1"/>
              <w:left w:val="single" w:sz="4" w:space="0" w:color="FFFFFF" w:themeColor="background1"/>
              <w:bottom w:val="single" w:sz="4" w:space="0" w:color="FFFFFF" w:themeColor="background1"/>
            </w:tcBorders>
            <w:hideMark/>
          </w:tcPr>
          <w:p w:rsidR="00355749" w:rsidRPr="00EB18D4" w:rsidRDefault="00355749" w:rsidP="00DD14CB">
            <w:pPr>
              <w:pStyle w:val="NormalWeb"/>
              <w:jc w:val="center"/>
              <w:rPr>
                <w:color w:val="FFFFFF" w:themeColor="background1"/>
              </w:rPr>
            </w:pPr>
            <w:r w:rsidRPr="00EB18D4">
              <w:rPr>
                <w:color w:val="FFFFFF" w:themeColor="background1"/>
              </w:rPr>
              <w:t>2018</w:t>
            </w:r>
          </w:p>
        </w:tc>
      </w:tr>
      <w:tr w:rsidR="00FC33AF" w:rsidTr="00956B34">
        <w:trPr>
          <w:cnfStyle w:val="100000000000" w:firstRow="1" w:lastRow="0" w:firstColumn="0" w:lastColumn="0" w:oddVBand="0" w:evenVBand="0" w:oddHBand="0" w:evenHBand="0" w:firstRowFirstColumn="0" w:firstRowLastColumn="0" w:lastRowFirstColumn="0" w:lastRowLastColumn="0"/>
          <w:tblHeader/>
        </w:trPr>
        <w:tc>
          <w:tcPr>
            <w:tcW w:w="0" w:type="auto"/>
            <w:vMerge/>
            <w:tcBorders>
              <w:top w:val="single" w:sz="4" w:space="0" w:color="FFFFFF" w:themeColor="background1"/>
              <w:right w:val="single" w:sz="4" w:space="0" w:color="FFFFFF" w:themeColor="background1"/>
            </w:tcBorders>
            <w:hideMark/>
          </w:tcPr>
          <w:p w:rsidR="00355749" w:rsidRPr="00EB18D4" w:rsidRDefault="00355749">
            <w:pPr>
              <w:rPr>
                <w:color w:val="FFFFFF" w:themeColor="background1"/>
                <w:sz w:val="24"/>
                <w:szCs w:val="24"/>
              </w:rPr>
            </w:pPr>
          </w:p>
        </w:tc>
        <w:tc>
          <w:tcPr>
            <w:tcW w:w="745" w:type="dxa"/>
            <w:tcBorders>
              <w:top w:val="single" w:sz="4" w:space="0" w:color="FFFFFF" w:themeColor="background1"/>
              <w:left w:val="single" w:sz="4" w:space="0" w:color="FFFFFF" w:themeColor="background1"/>
              <w:right w:val="single" w:sz="4" w:space="0" w:color="FFFFFF" w:themeColor="background1"/>
            </w:tcBorders>
            <w:hideMark/>
          </w:tcPr>
          <w:p w:rsidR="00355749" w:rsidRPr="00EB18D4" w:rsidRDefault="00355749" w:rsidP="00DD14CB">
            <w:pPr>
              <w:pStyle w:val="NormalWeb"/>
              <w:jc w:val="center"/>
              <w:rPr>
                <w:color w:val="FFFFFF" w:themeColor="background1"/>
              </w:rPr>
            </w:pPr>
            <w:r w:rsidRPr="00EB18D4">
              <w:rPr>
                <w:color w:val="FFFFFF" w:themeColor="background1"/>
              </w:rPr>
              <w:t>n</w:t>
            </w:r>
          </w:p>
        </w:tc>
        <w:tc>
          <w:tcPr>
            <w:tcW w:w="745" w:type="dxa"/>
            <w:tcBorders>
              <w:top w:val="single" w:sz="4" w:space="0" w:color="FFFFFF" w:themeColor="background1"/>
              <w:left w:val="single" w:sz="4" w:space="0" w:color="FFFFFF" w:themeColor="background1"/>
              <w:right w:val="single" w:sz="4" w:space="0" w:color="FFFFFF" w:themeColor="background1"/>
            </w:tcBorders>
            <w:hideMark/>
          </w:tcPr>
          <w:p w:rsidR="00355749" w:rsidRPr="00EB18D4" w:rsidRDefault="00355749" w:rsidP="00DD14CB">
            <w:pPr>
              <w:pStyle w:val="NormalWeb"/>
              <w:jc w:val="center"/>
              <w:rPr>
                <w:color w:val="FFFFFF" w:themeColor="background1"/>
              </w:rPr>
            </w:pPr>
            <w:r w:rsidRPr="00EB18D4">
              <w:rPr>
                <w:color w:val="FFFFFF" w:themeColor="background1"/>
              </w:rPr>
              <w:t>%</w:t>
            </w:r>
          </w:p>
        </w:tc>
        <w:tc>
          <w:tcPr>
            <w:tcW w:w="745" w:type="dxa"/>
            <w:tcBorders>
              <w:top w:val="single" w:sz="4" w:space="0" w:color="FFFFFF" w:themeColor="background1"/>
              <w:left w:val="single" w:sz="4" w:space="0" w:color="FFFFFF" w:themeColor="background1"/>
              <w:right w:val="single" w:sz="4" w:space="0" w:color="FFFFFF" w:themeColor="background1"/>
            </w:tcBorders>
            <w:hideMark/>
          </w:tcPr>
          <w:p w:rsidR="00355749" w:rsidRPr="00EB18D4" w:rsidRDefault="00355749" w:rsidP="00DD14CB">
            <w:pPr>
              <w:pStyle w:val="NormalWeb"/>
              <w:jc w:val="center"/>
              <w:rPr>
                <w:color w:val="FFFFFF" w:themeColor="background1"/>
              </w:rPr>
            </w:pPr>
            <w:r w:rsidRPr="00EB18D4">
              <w:rPr>
                <w:color w:val="FFFFFF" w:themeColor="background1"/>
              </w:rPr>
              <w:t>n</w:t>
            </w:r>
          </w:p>
        </w:tc>
        <w:tc>
          <w:tcPr>
            <w:tcW w:w="745" w:type="dxa"/>
            <w:tcBorders>
              <w:top w:val="single" w:sz="4" w:space="0" w:color="FFFFFF" w:themeColor="background1"/>
              <w:left w:val="single" w:sz="4" w:space="0" w:color="FFFFFF" w:themeColor="background1"/>
              <w:right w:val="single" w:sz="4" w:space="0" w:color="FFFFFF" w:themeColor="background1"/>
            </w:tcBorders>
            <w:hideMark/>
          </w:tcPr>
          <w:p w:rsidR="00355749" w:rsidRPr="00EB18D4" w:rsidRDefault="00355749" w:rsidP="00DD14CB">
            <w:pPr>
              <w:pStyle w:val="NormalWeb"/>
              <w:jc w:val="center"/>
              <w:rPr>
                <w:color w:val="FFFFFF" w:themeColor="background1"/>
              </w:rPr>
            </w:pPr>
            <w:r w:rsidRPr="00EB18D4">
              <w:rPr>
                <w:color w:val="FFFFFF" w:themeColor="background1"/>
              </w:rPr>
              <w:t>%</w:t>
            </w:r>
          </w:p>
        </w:tc>
        <w:tc>
          <w:tcPr>
            <w:tcW w:w="746" w:type="dxa"/>
            <w:tcBorders>
              <w:top w:val="single" w:sz="4" w:space="0" w:color="FFFFFF" w:themeColor="background1"/>
              <w:left w:val="single" w:sz="4" w:space="0" w:color="FFFFFF" w:themeColor="background1"/>
              <w:right w:val="single" w:sz="4" w:space="0" w:color="FFFFFF" w:themeColor="background1"/>
            </w:tcBorders>
            <w:hideMark/>
          </w:tcPr>
          <w:p w:rsidR="00355749" w:rsidRPr="00EB18D4" w:rsidRDefault="00355749" w:rsidP="00DD14CB">
            <w:pPr>
              <w:pStyle w:val="NormalWeb"/>
              <w:jc w:val="center"/>
              <w:rPr>
                <w:color w:val="FFFFFF" w:themeColor="background1"/>
              </w:rPr>
            </w:pPr>
            <w:r w:rsidRPr="00EB18D4">
              <w:rPr>
                <w:color w:val="FFFFFF" w:themeColor="background1"/>
              </w:rPr>
              <w:t>n</w:t>
            </w:r>
          </w:p>
        </w:tc>
        <w:tc>
          <w:tcPr>
            <w:tcW w:w="745" w:type="dxa"/>
            <w:tcBorders>
              <w:top w:val="single" w:sz="4" w:space="0" w:color="FFFFFF" w:themeColor="background1"/>
              <w:left w:val="single" w:sz="4" w:space="0" w:color="FFFFFF" w:themeColor="background1"/>
              <w:right w:val="single" w:sz="4" w:space="0" w:color="FFFFFF" w:themeColor="background1"/>
            </w:tcBorders>
            <w:hideMark/>
          </w:tcPr>
          <w:p w:rsidR="00355749" w:rsidRPr="00EB18D4" w:rsidRDefault="00355749" w:rsidP="00DD14CB">
            <w:pPr>
              <w:pStyle w:val="NormalWeb"/>
              <w:jc w:val="center"/>
              <w:rPr>
                <w:color w:val="FFFFFF" w:themeColor="background1"/>
              </w:rPr>
            </w:pPr>
            <w:r w:rsidRPr="00EB18D4">
              <w:rPr>
                <w:color w:val="FFFFFF" w:themeColor="background1"/>
              </w:rPr>
              <w:t>%</w:t>
            </w:r>
          </w:p>
        </w:tc>
        <w:tc>
          <w:tcPr>
            <w:tcW w:w="745" w:type="dxa"/>
            <w:tcBorders>
              <w:top w:val="single" w:sz="4" w:space="0" w:color="FFFFFF" w:themeColor="background1"/>
              <w:left w:val="single" w:sz="4" w:space="0" w:color="FFFFFF" w:themeColor="background1"/>
              <w:right w:val="single" w:sz="4" w:space="0" w:color="FFFFFF" w:themeColor="background1"/>
            </w:tcBorders>
            <w:hideMark/>
          </w:tcPr>
          <w:p w:rsidR="00355749" w:rsidRPr="00EB18D4" w:rsidRDefault="00355749" w:rsidP="00DD14CB">
            <w:pPr>
              <w:pStyle w:val="NormalWeb"/>
              <w:jc w:val="center"/>
              <w:rPr>
                <w:color w:val="FFFFFF" w:themeColor="background1"/>
              </w:rPr>
            </w:pPr>
            <w:r w:rsidRPr="00EB18D4">
              <w:rPr>
                <w:color w:val="FFFFFF" w:themeColor="background1"/>
              </w:rPr>
              <w:t>n</w:t>
            </w:r>
          </w:p>
        </w:tc>
        <w:tc>
          <w:tcPr>
            <w:tcW w:w="745" w:type="dxa"/>
            <w:tcBorders>
              <w:top w:val="single" w:sz="4" w:space="0" w:color="FFFFFF" w:themeColor="background1"/>
              <w:left w:val="single" w:sz="4" w:space="0" w:color="FFFFFF" w:themeColor="background1"/>
              <w:right w:val="single" w:sz="4" w:space="0" w:color="FFFFFF" w:themeColor="background1"/>
            </w:tcBorders>
            <w:hideMark/>
          </w:tcPr>
          <w:p w:rsidR="00355749" w:rsidRPr="00EB18D4" w:rsidRDefault="00355749" w:rsidP="00DD14CB">
            <w:pPr>
              <w:pStyle w:val="NormalWeb"/>
              <w:jc w:val="center"/>
              <w:rPr>
                <w:color w:val="FFFFFF" w:themeColor="background1"/>
              </w:rPr>
            </w:pPr>
            <w:r w:rsidRPr="00EB18D4">
              <w:rPr>
                <w:color w:val="FFFFFF" w:themeColor="background1"/>
              </w:rPr>
              <w:t>%</w:t>
            </w:r>
          </w:p>
        </w:tc>
        <w:tc>
          <w:tcPr>
            <w:tcW w:w="746" w:type="dxa"/>
            <w:tcBorders>
              <w:top w:val="single" w:sz="4" w:space="0" w:color="FFFFFF" w:themeColor="background1"/>
              <w:left w:val="single" w:sz="4" w:space="0" w:color="FFFFFF" w:themeColor="background1"/>
              <w:right w:val="single" w:sz="4" w:space="0" w:color="FFFFFF" w:themeColor="background1"/>
            </w:tcBorders>
            <w:hideMark/>
          </w:tcPr>
          <w:p w:rsidR="00355749" w:rsidRPr="00EB18D4" w:rsidRDefault="00355749" w:rsidP="00DD14CB">
            <w:pPr>
              <w:pStyle w:val="NormalWeb"/>
              <w:jc w:val="center"/>
              <w:rPr>
                <w:color w:val="FFFFFF" w:themeColor="background1"/>
              </w:rPr>
            </w:pPr>
            <w:r w:rsidRPr="00EB18D4">
              <w:rPr>
                <w:color w:val="FFFFFF" w:themeColor="background1"/>
              </w:rPr>
              <w:t>n</w:t>
            </w:r>
          </w:p>
        </w:tc>
        <w:tc>
          <w:tcPr>
            <w:tcW w:w="745" w:type="dxa"/>
            <w:tcBorders>
              <w:top w:val="single" w:sz="4" w:space="0" w:color="FFFFFF" w:themeColor="background1"/>
              <w:left w:val="single" w:sz="4" w:space="0" w:color="FFFFFF" w:themeColor="background1"/>
              <w:right w:val="single" w:sz="4" w:space="0" w:color="FFFFFF" w:themeColor="background1"/>
            </w:tcBorders>
            <w:hideMark/>
          </w:tcPr>
          <w:p w:rsidR="00355749" w:rsidRPr="00EB18D4" w:rsidRDefault="00355749" w:rsidP="00DD14CB">
            <w:pPr>
              <w:pStyle w:val="NormalWeb"/>
              <w:jc w:val="center"/>
              <w:rPr>
                <w:color w:val="FFFFFF" w:themeColor="background1"/>
              </w:rPr>
            </w:pPr>
            <w:r w:rsidRPr="00EB18D4">
              <w:rPr>
                <w:color w:val="FFFFFF" w:themeColor="background1"/>
              </w:rPr>
              <w:t>%</w:t>
            </w:r>
          </w:p>
        </w:tc>
        <w:tc>
          <w:tcPr>
            <w:tcW w:w="745" w:type="dxa"/>
            <w:tcBorders>
              <w:top w:val="single" w:sz="4" w:space="0" w:color="FFFFFF" w:themeColor="background1"/>
              <w:left w:val="single" w:sz="4" w:space="0" w:color="FFFFFF" w:themeColor="background1"/>
              <w:right w:val="single" w:sz="4" w:space="0" w:color="FFFFFF" w:themeColor="background1"/>
            </w:tcBorders>
            <w:hideMark/>
          </w:tcPr>
          <w:p w:rsidR="00355749" w:rsidRPr="00EB18D4" w:rsidRDefault="00355749" w:rsidP="00DD14CB">
            <w:pPr>
              <w:pStyle w:val="NormalWeb"/>
              <w:jc w:val="center"/>
              <w:rPr>
                <w:color w:val="FFFFFF" w:themeColor="background1"/>
              </w:rPr>
            </w:pPr>
            <w:r w:rsidRPr="00EB18D4">
              <w:rPr>
                <w:color w:val="FFFFFF" w:themeColor="background1"/>
              </w:rPr>
              <w:t>n</w:t>
            </w:r>
          </w:p>
        </w:tc>
        <w:tc>
          <w:tcPr>
            <w:tcW w:w="745" w:type="dxa"/>
            <w:tcBorders>
              <w:top w:val="single" w:sz="4" w:space="0" w:color="FFFFFF" w:themeColor="background1"/>
              <w:left w:val="single" w:sz="4" w:space="0" w:color="FFFFFF" w:themeColor="background1"/>
              <w:right w:val="single" w:sz="4" w:space="0" w:color="FFFFFF" w:themeColor="background1"/>
            </w:tcBorders>
            <w:hideMark/>
          </w:tcPr>
          <w:p w:rsidR="00355749" w:rsidRPr="00EB18D4" w:rsidRDefault="00355749" w:rsidP="00DD14CB">
            <w:pPr>
              <w:pStyle w:val="NormalWeb"/>
              <w:jc w:val="center"/>
              <w:rPr>
                <w:color w:val="FFFFFF" w:themeColor="background1"/>
              </w:rPr>
            </w:pPr>
            <w:r w:rsidRPr="00EB18D4">
              <w:rPr>
                <w:color w:val="FFFFFF" w:themeColor="background1"/>
              </w:rPr>
              <w:t>%</w:t>
            </w:r>
          </w:p>
        </w:tc>
        <w:tc>
          <w:tcPr>
            <w:tcW w:w="745" w:type="dxa"/>
            <w:tcBorders>
              <w:top w:val="single" w:sz="4" w:space="0" w:color="FFFFFF" w:themeColor="background1"/>
              <w:left w:val="single" w:sz="4" w:space="0" w:color="FFFFFF" w:themeColor="background1"/>
              <w:right w:val="single" w:sz="4" w:space="0" w:color="FFFFFF" w:themeColor="background1"/>
            </w:tcBorders>
            <w:hideMark/>
          </w:tcPr>
          <w:p w:rsidR="00355749" w:rsidRPr="00EB18D4" w:rsidRDefault="00355749" w:rsidP="00DD14CB">
            <w:pPr>
              <w:pStyle w:val="NormalWeb"/>
              <w:jc w:val="center"/>
              <w:rPr>
                <w:color w:val="FFFFFF" w:themeColor="background1"/>
              </w:rPr>
            </w:pPr>
            <w:r w:rsidRPr="00EB18D4">
              <w:rPr>
                <w:color w:val="FFFFFF" w:themeColor="background1"/>
              </w:rPr>
              <w:t>n</w:t>
            </w:r>
          </w:p>
        </w:tc>
        <w:tc>
          <w:tcPr>
            <w:tcW w:w="746" w:type="dxa"/>
            <w:tcBorders>
              <w:top w:val="single" w:sz="4" w:space="0" w:color="FFFFFF" w:themeColor="background1"/>
              <w:left w:val="single" w:sz="4" w:space="0" w:color="FFFFFF" w:themeColor="background1"/>
              <w:right w:val="single" w:sz="4" w:space="0" w:color="FFFFFF" w:themeColor="background1"/>
            </w:tcBorders>
            <w:hideMark/>
          </w:tcPr>
          <w:p w:rsidR="00355749" w:rsidRPr="00EB18D4" w:rsidRDefault="00355749" w:rsidP="00DD14CB">
            <w:pPr>
              <w:pStyle w:val="NormalWeb"/>
              <w:jc w:val="center"/>
              <w:rPr>
                <w:color w:val="FFFFFF" w:themeColor="background1"/>
              </w:rPr>
            </w:pPr>
            <w:r w:rsidRPr="00EB18D4">
              <w:rPr>
                <w:color w:val="FFFFFF" w:themeColor="background1"/>
              </w:rPr>
              <w:t>%</w:t>
            </w:r>
          </w:p>
        </w:tc>
        <w:tc>
          <w:tcPr>
            <w:tcW w:w="745" w:type="dxa"/>
            <w:tcBorders>
              <w:top w:val="single" w:sz="4" w:space="0" w:color="FFFFFF" w:themeColor="background1"/>
              <w:left w:val="single" w:sz="4" w:space="0" w:color="FFFFFF" w:themeColor="background1"/>
              <w:right w:val="single" w:sz="4" w:space="0" w:color="FFFFFF" w:themeColor="background1"/>
            </w:tcBorders>
            <w:hideMark/>
          </w:tcPr>
          <w:p w:rsidR="00355749" w:rsidRPr="00EB18D4" w:rsidRDefault="00355749" w:rsidP="00DD14CB">
            <w:pPr>
              <w:pStyle w:val="NormalWeb"/>
              <w:jc w:val="center"/>
              <w:rPr>
                <w:color w:val="FFFFFF" w:themeColor="background1"/>
              </w:rPr>
            </w:pPr>
            <w:r w:rsidRPr="00EB18D4">
              <w:rPr>
                <w:color w:val="FFFFFF" w:themeColor="background1"/>
              </w:rPr>
              <w:t>n</w:t>
            </w:r>
          </w:p>
        </w:tc>
        <w:tc>
          <w:tcPr>
            <w:tcW w:w="745" w:type="dxa"/>
            <w:tcBorders>
              <w:top w:val="single" w:sz="4" w:space="0" w:color="FFFFFF" w:themeColor="background1"/>
              <w:left w:val="single" w:sz="4" w:space="0" w:color="FFFFFF" w:themeColor="background1"/>
              <w:right w:val="single" w:sz="4" w:space="0" w:color="FFFFFF" w:themeColor="background1"/>
            </w:tcBorders>
            <w:hideMark/>
          </w:tcPr>
          <w:p w:rsidR="00355749" w:rsidRPr="00EB18D4" w:rsidRDefault="00355749" w:rsidP="00DD14CB">
            <w:pPr>
              <w:pStyle w:val="NormalWeb"/>
              <w:jc w:val="center"/>
              <w:rPr>
                <w:color w:val="FFFFFF" w:themeColor="background1"/>
              </w:rPr>
            </w:pPr>
            <w:r w:rsidRPr="00EB18D4">
              <w:rPr>
                <w:color w:val="FFFFFF" w:themeColor="background1"/>
              </w:rPr>
              <w:t>%</w:t>
            </w:r>
          </w:p>
        </w:tc>
        <w:tc>
          <w:tcPr>
            <w:tcW w:w="745" w:type="dxa"/>
            <w:tcBorders>
              <w:top w:val="single" w:sz="4" w:space="0" w:color="FFFFFF" w:themeColor="background1"/>
              <w:left w:val="single" w:sz="4" w:space="0" w:color="FFFFFF" w:themeColor="background1"/>
              <w:right w:val="single" w:sz="4" w:space="0" w:color="FFFFFF" w:themeColor="background1"/>
            </w:tcBorders>
            <w:hideMark/>
          </w:tcPr>
          <w:p w:rsidR="00355749" w:rsidRPr="00EB18D4" w:rsidRDefault="00355749" w:rsidP="00DD14CB">
            <w:pPr>
              <w:pStyle w:val="NormalWeb"/>
              <w:jc w:val="center"/>
              <w:rPr>
                <w:color w:val="FFFFFF" w:themeColor="background1"/>
              </w:rPr>
            </w:pPr>
            <w:r w:rsidRPr="00EB18D4">
              <w:rPr>
                <w:color w:val="FFFFFF" w:themeColor="background1"/>
              </w:rPr>
              <w:t>n</w:t>
            </w:r>
          </w:p>
        </w:tc>
        <w:tc>
          <w:tcPr>
            <w:tcW w:w="746" w:type="dxa"/>
            <w:tcBorders>
              <w:top w:val="single" w:sz="4" w:space="0" w:color="FFFFFF" w:themeColor="background1"/>
              <w:left w:val="single" w:sz="4" w:space="0" w:color="FFFFFF" w:themeColor="background1"/>
            </w:tcBorders>
            <w:hideMark/>
          </w:tcPr>
          <w:p w:rsidR="00355749" w:rsidRPr="00EB18D4" w:rsidRDefault="00355749" w:rsidP="00DD14CB">
            <w:pPr>
              <w:pStyle w:val="NormalWeb"/>
              <w:jc w:val="center"/>
              <w:rPr>
                <w:color w:val="FFFFFF" w:themeColor="background1"/>
              </w:rPr>
            </w:pPr>
            <w:r w:rsidRPr="00EB18D4">
              <w:rPr>
                <w:color w:val="FFFFFF" w:themeColor="background1"/>
              </w:rPr>
              <w:t>%</w:t>
            </w:r>
          </w:p>
        </w:tc>
      </w:tr>
      <w:tr w:rsidR="00FC33AF" w:rsidTr="00956B34">
        <w:tc>
          <w:tcPr>
            <w:tcW w:w="0" w:type="auto"/>
            <w:tcBorders>
              <w:right w:val="single" w:sz="2" w:space="0" w:color="808080" w:themeColor="background1" w:themeShade="80"/>
            </w:tcBorders>
            <w:hideMark/>
          </w:tcPr>
          <w:p w:rsidR="00355749" w:rsidRDefault="00355749">
            <w:pPr>
              <w:pStyle w:val="NormalWeb"/>
            </w:pPr>
            <w:r>
              <w:t>ACT</w:t>
            </w:r>
          </w:p>
        </w:tc>
        <w:tc>
          <w:tcPr>
            <w:tcW w:w="745" w:type="dxa"/>
            <w:tcBorders>
              <w:left w:val="single" w:sz="2" w:space="0" w:color="808080" w:themeColor="background1" w:themeShade="80"/>
              <w:right w:val="single" w:sz="2" w:space="0" w:color="808080" w:themeColor="background1" w:themeShade="80"/>
            </w:tcBorders>
            <w:hideMark/>
          </w:tcPr>
          <w:p w:rsidR="00355749" w:rsidRDefault="00355749" w:rsidP="00DD14CB">
            <w:pPr>
              <w:pStyle w:val="NormalWeb"/>
              <w:jc w:val="center"/>
            </w:pPr>
            <w:r>
              <w:t>3</w:t>
            </w:r>
          </w:p>
        </w:tc>
        <w:tc>
          <w:tcPr>
            <w:tcW w:w="745" w:type="dxa"/>
            <w:tcBorders>
              <w:left w:val="single" w:sz="2" w:space="0" w:color="808080" w:themeColor="background1" w:themeShade="80"/>
              <w:right w:val="single" w:sz="2" w:space="0" w:color="808080" w:themeColor="background1" w:themeShade="80"/>
            </w:tcBorders>
            <w:hideMark/>
          </w:tcPr>
          <w:p w:rsidR="00355749" w:rsidRDefault="00355749" w:rsidP="00DD14CB">
            <w:pPr>
              <w:pStyle w:val="NormalWeb"/>
              <w:jc w:val="center"/>
            </w:pPr>
            <w:r>
              <w:t>6.7</w:t>
            </w:r>
          </w:p>
        </w:tc>
        <w:tc>
          <w:tcPr>
            <w:tcW w:w="745" w:type="dxa"/>
            <w:tcBorders>
              <w:left w:val="single" w:sz="2" w:space="0" w:color="808080" w:themeColor="background1" w:themeShade="80"/>
              <w:right w:val="single" w:sz="2" w:space="0" w:color="808080" w:themeColor="background1" w:themeShade="80"/>
            </w:tcBorders>
            <w:hideMark/>
          </w:tcPr>
          <w:p w:rsidR="00355749" w:rsidRDefault="00355749" w:rsidP="00DD14CB">
            <w:pPr>
              <w:pStyle w:val="NormalWeb"/>
              <w:jc w:val="center"/>
            </w:pPr>
            <w:r>
              <w:t>2</w:t>
            </w:r>
          </w:p>
        </w:tc>
        <w:tc>
          <w:tcPr>
            <w:tcW w:w="745" w:type="dxa"/>
            <w:tcBorders>
              <w:left w:val="single" w:sz="2" w:space="0" w:color="808080" w:themeColor="background1" w:themeShade="80"/>
              <w:right w:val="single" w:sz="2" w:space="0" w:color="808080" w:themeColor="background1" w:themeShade="80"/>
            </w:tcBorders>
            <w:hideMark/>
          </w:tcPr>
          <w:p w:rsidR="00355749" w:rsidRDefault="00355749" w:rsidP="00DD14CB">
            <w:pPr>
              <w:pStyle w:val="NormalWeb"/>
              <w:jc w:val="center"/>
            </w:pPr>
            <w:r>
              <w:t>3.1</w:t>
            </w:r>
          </w:p>
        </w:tc>
        <w:tc>
          <w:tcPr>
            <w:tcW w:w="746" w:type="dxa"/>
            <w:tcBorders>
              <w:left w:val="single" w:sz="2" w:space="0" w:color="808080" w:themeColor="background1" w:themeShade="80"/>
              <w:right w:val="single" w:sz="2" w:space="0" w:color="808080" w:themeColor="background1" w:themeShade="80"/>
            </w:tcBorders>
            <w:hideMark/>
          </w:tcPr>
          <w:p w:rsidR="00355749" w:rsidRDefault="00355749" w:rsidP="00DD14CB">
            <w:pPr>
              <w:pStyle w:val="NormalWeb"/>
              <w:jc w:val="center"/>
            </w:pPr>
            <w:r>
              <w:t>2</w:t>
            </w:r>
          </w:p>
        </w:tc>
        <w:tc>
          <w:tcPr>
            <w:tcW w:w="745" w:type="dxa"/>
            <w:tcBorders>
              <w:left w:val="single" w:sz="2" w:space="0" w:color="808080" w:themeColor="background1" w:themeShade="80"/>
              <w:right w:val="single" w:sz="2" w:space="0" w:color="808080" w:themeColor="background1" w:themeShade="80"/>
            </w:tcBorders>
            <w:hideMark/>
          </w:tcPr>
          <w:p w:rsidR="00355749" w:rsidRDefault="00355749" w:rsidP="00DD14CB">
            <w:pPr>
              <w:pStyle w:val="NormalWeb"/>
              <w:jc w:val="center"/>
            </w:pPr>
            <w:r>
              <w:t>3.6</w:t>
            </w:r>
          </w:p>
        </w:tc>
        <w:tc>
          <w:tcPr>
            <w:tcW w:w="745" w:type="dxa"/>
            <w:tcBorders>
              <w:left w:val="single" w:sz="2" w:space="0" w:color="808080" w:themeColor="background1" w:themeShade="80"/>
              <w:right w:val="single" w:sz="2" w:space="0" w:color="808080" w:themeColor="background1" w:themeShade="80"/>
            </w:tcBorders>
            <w:hideMark/>
          </w:tcPr>
          <w:p w:rsidR="00355749" w:rsidRDefault="00355749" w:rsidP="00DD14CB">
            <w:pPr>
              <w:pStyle w:val="NormalWeb"/>
              <w:jc w:val="center"/>
            </w:pPr>
            <w:r>
              <w:t>0</w:t>
            </w:r>
          </w:p>
        </w:tc>
        <w:tc>
          <w:tcPr>
            <w:tcW w:w="745" w:type="dxa"/>
            <w:tcBorders>
              <w:left w:val="single" w:sz="2" w:space="0" w:color="808080" w:themeColor="background1" w:themeShade="80"/>
              <w:right w:val="single" w:sz="2" w:space="0" w:color="808080" w:themeColor="background1" w:themeShade="80"/>
            </w:tcBorders>
            <w:hideMark/>
          </w:tcPr>
          <w:p w:rsidR="00355749" w:rsidRDefault="00355749" w:rsidP="00DD14CB">
            <w:pPr>
              <w:pStyle w:val="NormalWeb"/>
              <w:jc w:val="center"/>
            </w:pPr>
            <w:r>
              <w:t>0</w:t>
            </w:r>
          </w:p>
        </w:tc>
        <w:tc>
          <w:tcPr>
            <w:tcW w:w="746" w:type="dxa"/>
            <w:tcBorders>
              <w:left w:val="single" w:sz="2" w:space="0" w:color="808080" w:themeColor="background1" w:themeShade="80"/>
              <w:right w:val="single" w:sz="2" w:space="0" w:color="808080" w:themeColor="background1" w:themeShade="80"/>
            </w:tcBorders>
            <w:hideMark/>
          </w:tcPr>
          <w:p w:rsidR="00355749" w:rsidRDefault="00355749" w:rsidP="00DD14CB">
            <w:pPr>
              <w:pStyle w:val="NormalWeb"/>
              <w:jc w:val="center"/>
            </w:pPr>
            <w:r>
              <w:t>2</w:t>
            </w:r>
          </w:p>
        </w:tc>
        <w:tc>
          <w:tcPr>
            <w:tcW w:w="745" w:type="dxa"/>
            <w:tcBorders>
              <w:left w:val="single" w:sz="2" w:space="0" w:color="808080" w:themeColor="background1" w:themeShade="80"/>
              <w:right w:val="single" w:sz="2" w:space="0" w:color="808080" w:themeColor="background1" w:themeShade="80"/>
            </w:tcBorders>
            <w:hideMark/>
          </w:tcPr>
          <w:p w:rsidR="00355749" w:rsidRDefault="00355749" w:rsidP="00DD14CB">
            <w:pPr>
              <w:pStyle w:val="NormalWeb"/>
              <w:jc w:val="center"/>
            </w:pPr>
            <w:r>
              <w:t>2.7</w:t>
            </w:r>
          </w:p>
        </w:tc>
        <w:tc>
          <w:tcPr>
            <w:tcW w:w="745" w:type="dxa"/>
            <w:tcBorders>
              <w:left w:val="single" w:sz="2" w:space="0" w:color="808080" w:themeColor="background1" w:themeShade="80"/>
              <w:right w:val="single" w:sz="2" w:space="0" w:color="808080" w:themeColor="background1" w:themeShade="80"/>
            </w:tcBorders>
            <w:hideMark/>
          </w:tcPr>
          <w:p w:rsidR="00355749" w:rsidRDefault="00355749" w:rsidP="00DD14CB">
            <w:pPr>
              <w:pStyle w:val="NormalWeb"/>
              <w:jc w:val="center"/>
            </w:pPr>
            <w:r>
              <w:t>0</w:t>
            </w:r>
          </w:p>
        </w:tc>
        <w:tc>
          <w:tcPr>
            <w:tcW w:w="745" w:type="dxa"/>
            <w:tcBorders>
              <w:left w:val="single" w:sz="2" w:space="0" w:color="808080" w:themeColor="background1" w:themeShade="80"/>
              <w:right w:val="single" w:sz="2" w:space="0" w:color="808080" w:themeColor="background1" w:themeShade="80"/>
            </w:tcBorders>
            <w:hideMark/>
          </w:tcPr>
          <w:p w:rsidR="00355749" w:rsidRDefault="00355749" w:rsidP="00DD14CB">
            <w:pPr>
              <w:pStyle w:val="NormalWeb"/>
              <w:jc w:val="center"/>
            </w:pPr>
            <w:r>
              <w:t>0.0</w:t>
            </w:r>
          </w:p>
        </w:tc>
        <w:tc>
          <w:tcPr>
            <w:tcW w:w="745" w:type="dxa"/>
            <w:tcBorders>
              <w:left w:val="single" w:sz="2" w:space="0" w:color="808080" w:themeColor="background1" w:themeShade="80"/>
              <w:right w:val="single" w:sz="2" w:space="0" w:color="808080" w:themeColor="background1" w:themeShade="80"/>
            </w:tcBorders>
            <w:hideMark/>
          </w:tcPr>
          <w:p w:rsidR="00355749" w:rsidRDefault="00355749" w:rsidP="00DD14CB">
            <w:pPr>
              <w:pStyle w:val="NormalWeb"/>
              <w:jc w:val="center"/>
            </w:pPr>
            <w:r>
              <w:t>1</w:t>
            </w:r>
          </w:p>
        </w:tc>
        <w:tc>
          <w:tcPr>
            <w:tcW w:w="746" w:type="dxa"/>
            <w:tcBorders>
              <w:left w:val="single" w:sz="2" w:space="0" w:color="808080" w:themeColor="background1" w:themeShade="80"/>
              <w:right w:val="single" w:sz="2" w:space="0" w:color="808080" w:themeColor="background1" w:themeShade="80"/>
            </w:tcBorders>
            <w:hideMark/>
          </w:tcPr>
          <w:p w:rsidR="00355749" w:rsidRDefault="00355749" w:rsidP="00DD14CB">
            <w:pPr>
              <w:pStyle w:val="NormalWeb"/>
              <w:jc w:val="center"/>
            </w:pPr>
            <w:r>
              <w:t>0.9</w:t>
            </w:r>
          </w:p>
        </w:tc>
        <w:tc>
          <w:tcPr>
            <w:tcW w:w="745" w:type="dxa"/>
            <w:tcBorders>
              <w:left w:val="single" w:sz="2" w:space="0" w:color="808080" w:themeColor="background1" w:themeShade="80"/>
              <w:right w:val="single" w:sz="2" w:space="0" w:color="808080" w:themeColor="background1" w:themeShade="80"/>
            </w:tcBorders>
            <w:hideMark/>
          </w:tcPr>
          <w:p w:rsidR="00355749" w:rsidRDefault="00355749" w:rsidP="00DD14CB">
            <w:pPr>
              <w:pStyle w:val="NormalWeb"/>
              <w:jc w:val="center"/>
            </w:pPr>
            <w:r>
              <w:t>0</w:t>
            </w:r>
          </w:p>
        </w:tc>
        <w:tc>
          <w:tcPr>
            <w:tcW w:w="745" w:type="dxa"/>
            <w:tcBorders>
              <w:left w:val="single" w:sz="2" w:space="0" w:color="808080" w:themeColor="background1" w:themeShade="80"/>
              <w:right w:val="single" w:sz="2" w:space="0" w:color="808080" w:themeColor="background1" w:themeShade="80"/>
            </w:tcBorders>
            <w:hideMark/>
          </w:tcPr>
          <w:p w:rsidR="00355749" w:rsidRDefault="00355749" w:rsidP="00DD14CB">
            <w:pPr>
              <w:pStyle w:val="NormalWeb"/>
              <w:jc w:val="center"/>
            </w:pPr>
            <w:r>
              <w:t>0</w:t>
            </w:r>
          </w:p>
        </w:tc>
        <w:tc>
          <w:tcPr>
            <w:tcW w:w="745" w:type="dxa"/>
            <w:tcBorders>
              <w:left w:val="single" w:sz="2" w:space="0" w:color="808080" w:themeColor="background1" w:themeShade="80"/>
              <w:right w:val="single" w:sz="2" w:space="0" w:color="808080" w:themeColor="background1" w:themeShade="80"/>
            </w:tcBorders>
            <w:hideMark/>
          </w:tcPr>
          <w:p w:rsidR="00355749" w:rsidRDefault="00355749" w:rsidP="00DD14CB">
            <w:pPr>
              <w:pStyle w:val="NormalWeb"/>
              <w:jc w:val="center"/>
            </w:pPr>
            <w:r>
              <w:t>4</w:t>
            </w:r>
          </w:p>
        </w:tc>
        <w:tc>
          <w:tcPr>
            <w:tcW w:w="746" w:type="dxa"/>
            <w:tcBorders>
              <w:left w:val="single" w:sz="2" w:space="0" w:color="808080" w:themeColor="background1" w:themeShade="80"/>
            </w:tcBorders>
            <w:hideMark/>
          </w:tcPr>
          <w:p w:rsidR="00355749" w:rsidRDefault="00355749" w:rsidP="00DD14CB">
            <w:pPr>
              <w:pStyle w:val="NormalWeb"/>
              <w:jc w:val="center"/>
            </w:pPr>
            <w:r>
              <w:t>1.9</w:t>
            </w:r>
          </w:p>
        </w:tc>
      </w:tr>
      <w:tr w:rsidR="00EB18D4" w:rsidTr="00956B34">
        <w:trPr>
          <w:cnfStyle w:val="000000010000" w:firstRow="0" w:lastRow="0" w:firstColumn="0" w:lastColumn="0" w:oddVBand="0" w:evenVBand="0" w:oddHBand="0" w:evenHBand="1" w:firstRowFirstColumn="0" w:firstRowLastColumn="0" w:lastRowFirstColumn="0" w:lastRowLastColumn="0"/>
        </w:trPr>
        <w:tc>
          <w:tcPr>
            <w:tcW w:w="0" w:type="auto"/>
            <w:tcBorders>
              <w:right w:val="single" w:sz="2" w:space="0" w:color="808080" w:themeColor="background1" w:themeShade="80"/>
            </w:tcBorders>
            <w:hideMark/>
          </w:tcPr>
          <w:p w:rsidR="00355749" w:rsidRDefault="00355749">
            <w:pPr>
              <w:pStyle w:val="NormalWeb"/>
            </w:pPr>
            <w:r>
              <w:t>NSW</w:t>
            </w:r>
          </w:p>
        </w:tc>
        <w:tc>
          <w:tcPr>
            <w:tcW w:w="745" w:type="dxa"/>
            <w:tcBorders>
              <w:left w:val="single" w:sz="2" w:space="0" w:color="808080" w:themeColor="background1" w:themeShade="80"/>
              <w:right w:val="single" w:sz="2" w:space="0" w:color="808080" w:themeColor="background1" w:themeShade="80"/>
            </w:tcBorders>
            <w:hideMark/>
          </w:tcPr>
          <w:p w:rsidR="00355749" w:rsidRDefault="00355749" w:rsidP="00DD14CB">
            <w:pPr>
              <w:pStyle w:val="NormalWeb"/>
              <w:jc w:val="center"/>
            </w:pPr>
            <w:r>
              <w:t>74</w:t>
            </w:r>
          </w:p>
        </w:tc>
        <w:tc>
          <w:tcPr>
            <w:tcW w:w="745" w:type="dxa"/>
            <w:tcBorders>
              <w:left w:val="single" w:sz="2" w:space="0" w:color="808080" w:themeColor="background1" w:themeShade="80"/>
              <w:right w:val="single" w:sz="2" w:space="0" w:color="808080" w:themeColor="background1" w:themeShade="80"/>
            </w:tcBorders>
            <w:hideMark/>
          </w:tcPr>
          <w:p w:rsidR="00355749" w:rsidRDefault="00355749" w:rsidP="00DD14CB">
            <w:pPr>
              <w:pStyle w:val="NormalWeb"/>
              <w:jc w:val="center"/>
            </w:pPr>
            <w:r>
              <w:t>5.6</w:t>
            </w:r>
          </w:p>
        </w:tc>
        <w:tc>
          <w:tcPr>
            <w:tcW w:w="745" w:type="dxa"/>
            <w:tcBorders>
              <w:left w:val="single" w:sz="2" w:space="0" w:color="808080" w:themeColor="background1" w:themeShade="80"/>
              <w:right w:val="single" w:sz="2" w:space="0" w:color="808080" w:themeColor="background1" w:themeShade="80"/>
            </w:tcBorders>
            <w:hideMark/>
          </w:tcPr>
          <w:p w:rsidR="00355749" w:rsidRDefault="00355749" w:rsidP="00DD14CB">
            <w:pPr>
              <w:pStyle w:val="NormalWeb"/>
              <w:jc w:val="center"/>
            </w:pPr>
            <w:r>
              <w:t>58</w:t>
            </w:r>
          </w:p>
        </w:tc>
        <w:tc>
          <w:tcPr>
            <w:tcW w:w="745" w:type="dxa"/>
            <w:tcBorders>
              <w:left w:val="single" w:sz="2" w:space="0" w:color="808080" w:themeColor="background1" w:themeShade="80"/>
              <w:right w:val="single" w:sz="2" w:space="0" w:color="808080" w:themeColor="background1" w:themeShade="80"/>
            </w:tcBorders>
            <w:hideMark/>
          </w:tcPr>
          <w:p w:rsidR="00355749" w:rsidRDefault="00355749" w:rsidP="00DD14CB">
            <w:pPr>
              <w:pStyle w:val="NormalWeb"/>
              <w:jc w:val="center"/>
            </w:pPr>
            <w:r>
              <w:t>4.4</w:t>
            </w:r>
          </w:p>
        </w:tc>
        <w:tc>
          <w:tcPr>
            <w:tcW w:w="746" w:type="dxa"/>
            <w:tcBorders>
              <w:left w:val="single" w:sz="2" w:space="0" w:color="808080" w:themeColor="background1" w:themeShade="80"/>
              <w:right w:val="single" w:sz="2" w:space="0" w:color="808080" w:themeColor="background1" w:themeShade="80"/>
            </w:tcBorders>
            <w:hideMark/>
          </w:tcPr>
          <w:p w:rsidR="00355749" w:rsidRDefault="00355749" w:rsidP="00DD14CB">
            <w:pPr>
              <w:pStyle w:val="NormalWeb"/>
              <w:jc w:val="center"/>
            </w:pPr>
            <w:r>
              <w:t>76</w:t>
            </w:r>
          </w:p>
        </w:tc>
        <w:tc>
          <w:tcPr>
            <w:tcW w:w="745" w:type="dxa"/>
            <w:tcBorders>
              <w:left w:val="single" w:sz="2" w:space="0" w:color="808080" w:themeColor="background1" w:themeShade="80"/>
              <w:right w:val="single" w:sz="2" w:space="0" w:color="808080" w:themeColor="background1" w:themeShade="80"/>
            </w:tcBorders>
            <w:hideMark/>
          </w:tcPr>
          <w:p w:rsidR="00355749" w:rsidRDefault="00355749" w:rsidP="00DD14CB">
            <w:pPr>
              <w:pStyle w:val="NormalWeb"/>
              <w:jc w:val="center"/>
            </w:pPr>
            <w:r>
              <w:t>4.5</w:t>
            </w:r>
          </w:p>
        </w:tc>
        <w:tc>
          <w:tcPr>
            <w:tcW w:w="745" w:type="dxa"/>
            <w:tcBorders>
              <w:left w:val="single" w:sz="2" w:space="0" w:color="808080" w:themeColor="background1" w:themeShade="80"/>
              <w:right w:val="single" w:sz="2" w:space="0" w:color="808080" w:themeColor="background1" w:themeShade="80"/>
            </w:tcBorders>
            <w:hideMark/>
          </w:tcPr>
          <w:p w:rsidR="00355749" w:rsidRDefault="00355749" w:rsidP="00DD14CB">
            <w:pPr>
              <w:pStyle w:val="NormalWeb"/>
              <w:jc w:val="center"/>
            </w:pPr>
            <w:r>
              <w:t>183</w:t>
            </w:r>
          </w:p>
        </w:tc>
        <w:tc>
          <w:tcPr>
            <w:tcW w:w="745" w:type="dxa"/>
            <w:tcBorders>
              <w:left w:val="single" w:sz="2" w:space="0" w:color="808080" w:themeColor="background1" w:themeShade="80"/>
              <w:right w:val="single" w:sz="2" w:space="0" w:color="808080" w:themeColor="background1" w:themeShade="80"/>
            </w:tcBorders>
            <w:hideMark/>
          </w:tcPr>
          <w:p w:rsidR="00355749" w:rsidRDefault="00355749" w:rsidP="00DD14CB">
            <w:pPr>
              <w:pStyle w:val="NormalWeb"/>
              <w:jc w:val="center"/>
            </w:pPr>
            <w:r>
              <w:t>11.8</w:t>
            </w:r>
          </w:p>
        </w:tc>
        <w:tc>
          <w:tcPr>
            <w:tcW w:w="746" w:type="dxa"/>
            <w:tcBorders>
              <w:left w:val="single" w:sz="2" w:space="0" w:color="808080" w:themeColor="background1" w:themeShade="80"/>
              <w:right w:val="single" w:sz="2" w:space="0" w:color="808080" w:themeColor="background1" w:themeShade="80"/>
            </w:tcBorders>
            <w:hideMark/>
          </w:tcPr>
          <w:p w:rsidR="00355749" w:rsidRDefault="00355749" w:rsidP="00DD14CB">
            <w:pPr>
              <w:pStyle w:val="NormalWeb"/>
              <w:jc w:val="center"/>
            </w:pPr>
            <w:r>
              <w:t>119</w:t>
            </w:r>
          </w:p>
        </w:tc>
        <w:tc>
          <w:tcPr>
            <w:tcW w:w="745" w:type="dxa"/>
            <w:tcBorders>
              <w:left w:val="single" w:sz="2" w:space="0" w:color="808080" w:themeColor="background1" w:themeShade="80"/>
              <w:right w:val="single" w:sz="2" w:space="0" w:color="808080" w:themeColor="background1" w:themeShade="80"/>
            </w:tcBorders>
            <w:hideMark/>
          </w:tcPr>
          <w:p w:rsidR="00355749" w:rsidRDefault="00355749" w:rsidP="00DD14CB">
            <w:pPr>
              <w:pStyle w:val="NormalWeb"/>
              <w:jc w:val="center"/>
            </w:pPr>
            <w:r>
              <w:t>7.1</w:t>
            </w:r>
          </w:p>
        </w:tc>
        <w:tc>
          <w:tcPr>
            <w:tcW w:w="745" w:type="dxa"/>
            <w:tcBorders>
              <w:left w:val="single" w:sz="2" w:space="0" w:color="808080" w:themeColor="background1" w:themeShade="80"/>
              <w:right w:val="single" w:sz="2" w:space="0" w:color="808080" w:themeColor="background1" w:themeShade="80"/>
            </w:tcBorders>
            <w:hideMark/>
          </w:tcPr>
          <w:p w:rsidR="00355749" w:rsidRDefault="00355749" w:rsidP="00DD14CB">
            <w:pPr>
              <w:pStyle w:val="NormalWeb"/>
              <w:jc w:val="center"/>
            </w:pPr>
            <w:r>
              <w:t>52</w:t>
            </w:r>
          </w:p>
        </w:tc>
        <w:tc>
          <w:tcPr>
            <w:tcW w:w="745" w:type="dxa"/>
            <w:tcBorders>
              <w:left w:val="single" w:sz="2" w:space="0" w:color="808080" w:themeColor="background1" w:themeShade="80"/>
              <w:right w:val="single" w:sz="2" w:space="0" w:color="808080" w:themeColor="background1" w:themeShade="80"/>
            </w:tcBorders>
            <w:hideMark/>
          </w:tcPr>
          <w:p w:rsidR="00355749" w:rsidRDefault="00355749" w:rsidP="00DD14CB">
            <w:pPr>
              <w:pStyle w:val="NormalWeb"/>
              <w:jc w:val="center"/>
            </w:pPr>
            <w:r>
              <w:t>2.7</w:t>
            </w:r>
          </w:p>
        </w:tc>
        <w:tc>
          <w:tcPr>
            <w:tcW w:w="745" w:type="dxa"/>
            <w:tcBorders>
              <w:left w:val="single" w:sz="2" w:space="0" w:color="808080" w:themeColor="background1" w:themeShade="80"/>
              <w:right w:val="single" w:sz="2" w:space="0" w:color="808080" w:themeColor="background1" w:themeShade="80"/>
            </w:tcBorders>
            <w:hideMark/>
          </w:tcPr>
          <w:p w:rsidR="00355749" w:rsidRDefault="00355749" w:rsidP="00DD14CB">
            <w:pPr>
              <w:pStyle w:val="NormalWeb"/>
              <w:jc w:val="center"/>
            </w:pPr>
            <w:r>
              <w:t>45</w:t>
            </w:r>
          </w:p>
        </w:tc>
        <w:tc>
          <w:tcPr>
            <w:tcW w:w="746" w:type="dxa"/>
            <w:tcBorders>
              <w:left w:val="single" w:sz="2" w:space="0" w:color="808080" w:themeColor="background1" w:themeShade="80"/>
              <w:right w:val="single" w:sz="2" w:space="0" w:color="808080" w:themeColor="background1" w:themeShade="80"/>
            </w:tcBorders>
            <w:hideMark/>
          </w:tcPr>
          <w:p w:rsidR="00355749" w:rsidRDefault="00355749" w:rsidP="00DD14CB">
            <w:pPr>
              <w:pStyle w:val="NormalWeb"/>
              <w:jc w:val="center"/>
            </w:pPr>
            <w:r>
              <w:t>2.0</w:t>
            </w:r>
          </w:p>
        </w:tc>
        <w:tc>
          <w:tcPr>
            <w:tcW w:w="745" w:type="dxa"/>
            <w:tcBorders>
              <w:left w:val="single" w:sz="2" w:space="0" w:color="808080" w:themeColor="background1" w:themeShade="80"/>
              <w:right w:val="single" w:sz="2" w:space="0" w:color="808080" w:themeColor="background1" w:themeShade="80"/>
            </w:tcBorders>
            <w:hideMark/>
          </w:tcPr>
          <w:p w:rsidR="00355749" w:rsidRDefault="00355749" w:rsidP="00DD14CB">
            <w:pPr>
              <w:pStyle w:val="NormalWeb"/>
              <w:jc w:val="center"/>
            </w:pPr>
            <w:r>
              <w:t>13</w:t>
            </w:r>
          </w:p>
        </w:tc>
        <w:tc>
          <w:tcPr>
            <w:tcW w:w="745" w:type="dxa"/>
            <w:tcBorders>
              <w:left w:val="single" w:sz="2" w:space="0" w:color="808080" w:themeColor="background1" w:themeShade="80"/>
              <w:right w:val="single" w:sz="2" w:space="0" w:color="808080" w:themeColor="background1" w:themeShade="80"/>
            </w:tcBorders>
            <w:hideMark/>
          </w:tcPr>
          <w:p w:rsidR="00355749" w:rsidRDefault="00355749" w:rsidP="00DD14CB">
            <w:pPr>
              <w:pStyle w:val="NormalWeb"/>
              <w:jc w:val="center"/>
            </w:pPr>
            <w:r>
              <w:t>0.5</w:t>
            </w:r>
          </w:p>
        </w:tc>
        <w:tc>
          <w:tcPr>
            <w:tcW w:w="745" w:type="dxa"/>
            <w:tcBorders>
              <w:left w:val="single" w:sz="2" w:space="0" w:color="808080" w:themeColor="background1" w:themeShade="80"/>
              <w:right w:val="single" w:sz="2" w:space="0" w:color="808080" w:themeColor="background1" w:themeShade="80"/>
            </w:tcBorders>
            <w:hideMark/>
          </w:tcPr>
          <w:p w:rsidR="00355749" w:rsidRDefault="00355749" w:rsidP="00DD14CB">
            <w:pPr>
              <w:pStyle w:val="NormalWeb"/>
              <w:jc w:val="center"/>
            </w:pPr>
            <w:r>
              <w:t>30</w:t>
            </w:r>
          </w:p>
        </w:tc>
        <w:tc>
          <w:tcPr>
            <w:tcW w:w="746" w:type="dxa"/>
            <w:tcBorders>
              <w:left w:val="single" w:sz="2" w:space="0" w:color="808080" w:themeColor="background1" w:themeShade="80"/>
            </w:tcBorders>
            <w:hideMark/>
          </w:tcPr>
          <w:p w:rsidR="00355749" w:rsidRDefault="00355749" w:rsidP="00DD14CB">
            <w:pPr>
              <w:pStyle w:val="NormalWeb"/>
              <w:jc w:val="center"/>
            </w:pPr>
            <w:r>
              <w:t>0.8</w:t>
            </w:r>
          </w:p>
        </w:tc>
      </w:tr>
      <w:tr w:rsidR="00FC33AF" w:rsidTr="00956B34">
        <w:tc>
          <w:tcPr>
            <w:tcW w:w="0" w:type="auto"/>
            <w:tcBorders>
              <w:right w:val="single" w:sz="2" w:space="0" w:color="808080" w:themeColor="background1" w:themeShade="80"/>
            </w:tcBorders>
            <w:hideMark/>
          </w:tcPr>
          <w:p w:rsidR="00355749" w:rsidRDefault="00355749">
            <w:pPr>
              <w:pStyle w:val="NormalWeb"/>
            </w:pPr>
            <w:r>
              <w:t>Qld</w:t>
            </w:r>
          </w:p>
        </w:tc>
        <w:tc>
          <w:tcPr>
            <w:tcW w:w="745" w:type="dxa"/>
            <w:tcBorders>
              <w:left w:val="single" w:sz="2" w:space="0" w:color="808080" w:themeColor="background1" w:themeShade="80"/>
              <w:right w:val="single" w:sz="2" w:space="0" w:color="808080" w:themeColor="background1" w:themeShade="80"/>
            </w:tcBorders>
            <w:hideMark/>
          </w:tcPr>
          <w:p w:rsidR="00355749" w:rsidRDefault="00355749" w:rsidP="00DD14CB">
            <w:pPr>
              <w:pStyle w:val="NormalWeb"/>
              <w:jc w:val="center"/>
            </w:pPr>
            <w:r>
              <w:t>17</w:t>
            </w:r>
          </w:p>
        </w:tc>
        <w:tc>
          <w:tcPr>
            <w:tcW w:w="745" w:type="dxa"/>
            <w:tcBorders>
              <w:left w:val="single" w:sz="2" w:space="0" w:color="808080" w:themeColor="background1" w:themeShade="80"/>
              <w:right w:val="single" w:sz="2" w:space="0" w:color="808080" w:themeColor="background1" w:themeShade="80"/>
            </w:tcBorders>
            <w:hideMark/>
          </w:tcPr>
          <w:p w:rsidR="00355749" w:rsidRDefault="00355749" w:rsidP="00DD14CB">
            <w:pPr>
              <w:pStyle w:val="NormalWeb"/>
              <w:jc w:val="center"/>
            </w:pPr>
            <w:r>
              <w:t>3.2</w:t>
            </w:r>
          </w:p>
        </w:tc>
        <w:tc>
          <w:tcPr>
            <w:tcW w:w="745" w:type="dxa"/>
            <w:tcBorders>
              <w:left w:val="single" w:sz="2" w:space="0" w:color="808080" w:themeColor="background1" w:themeShade="80"/>
              <w:right w:val="single" w:sz="2" w:space="0" w:color="808080" w:themeColor="background1" w:themeShade="80"/>
            </w:tcBorders>
            <w:hideMark/>
          </w:tcPr>
          <w:p w:rsidR="00355749" w:rsidRDefault="00355749" w:rsidP="00DD14CB">
            <w:pPr>
              <w:pStyle w:val="NormalWeb"/>
              <w:jc w:val="center"/>
            </w:pPr>
            <w:r>
              <w:t>18</w:t>
            </w:r>
          </w:p>
        </w:tc>
        <w:tc>
          <w:tcPr>
            <w:tcW w:w="745" w:type="dxa"/>
            <w:tcBorders>
              <w:left w:val="single" w:sz="2" w:space="0" w:color="808080" w:themeColor="background1" w:themeShade="80"/>
              <w:right w:val="single" w:sz="2" w:space="0" w:color="808080" w:themeColor="background1" w:themeShade="80"/>
            </w:tcBorders>
            <w:hideMark/>
          </w:tcPr>
          <w:p w:rsidR="00355749" w:rsidRDefault="00355749" w:rsidP="00DD14CB">
            <w:pPr>
              <w:pStyle w:val="NormalWeb"/>
              <w:jc w:val="center"/>
            </w:pPr>
            <w:r>
              <w:t>2.3</w:t>
            </w:r>
          </w:p>
        </w:tc>
        <w:tc>
          <w:tcPr>
            <w:tcW w:w="746" w:type="dxa"/>
            <w:tcBorders>
              <w:left w:val="single" w:sz="2" w:space="0" w:color="808080" w:themeColor="background1" w:themeShade="80"/>
              <w:right w:val="single" w:sz="2" w:space="0" w:color="808080" w:themeColor="background1" w:themeShade="80"/>
            </w:tcBorders>
            <w:hideMark/>
          </w:tcPr>
          <w:p w:rsidR="00355749" w:rsidRDefault="00355749" w:rsidP="00DD14CB">
            <w:pPr>
              <w:pStyle w:val="NormalWeb"/>
              <w:jc w:val="center"/>
            </w:pPr>
            <w:r>
              <w:t>17</w:t>
            </w:r>
          </w:p>
        </w:tc>
        <w:tc>
          <w:tcPr>
            <w:tcW w:w="745" w:type="dxa"/>
            <w:tcBorders>
              <w:left w:val="single" w:sz="2" w:space="0" w:color="808080" w:themeColor="background1" w:themeShade="80"/>
              <w:right w:val="single" w:sz="2" w:space="0" w:color="808080" w:themeColor="background1" w:themeShade="80"/>
            </w:tcBorders>
            <w:hideMark/>
          </w:tcPr>
          <w:p w:rsidR="00355749" w:rsidRDefault="00355749" w:rsidP="00DD14CB">
            <w:pPr>
              <w:pStyle w:val="NormalWeb"/>
              <w:jc w:val="center"/>
            </w:pPr>
            <w:r>
              <w:t>2.4</w:t>
            </w:r>
          </w:p>
        </w:tc>
        <w:tc>
          <w:tcPr>
            <w:tcW w:w="745" w:type="dxa"/>
            <w:tcBorders>
              <w:left w:val="single" w:sz="2" w:space="0" w:color="808080" w:themeColor="background1" w:themeShade="80"/>
              <w:right w:val="single" w:sz="2" w:space="0" w:color="808080" w:themeColor="background1" w:themeShade="80"/>
            </w:tcBorders>
            <w:hideMark/>
          </w:tcPr>
          <w:p w:rsidR="00355749" w:rsidRDefault="00355749" w:rsidP="00DD14CB">
            <w:pPr>
              <w:pStyle w:val="NormalWeb"/>
              <w:jc w:val="center"/>
            </w:pPr>
            <w:r>
              <w:t>33</w:t>
            </w:r>
          </w:p>
        </w:tc>
        <w:tc>
          <w:tcPr>
            <w:tcW w:w="745" w:type="dxa"/>
            <w:tcBorders>
              <w:left w:val="single" w:sz="2" w:space="0" w:color="808080" w:themeColor="background1" w:themeShade="80"/>
              <w:right w:val="single" w:sz="2" w:space="0" w:color="808080" w:themeColor="background1" w:themeShade="80"/>
            </w:tcBorders>
            <w:hideMark/>
          </w:tcPr>
          <w:p w:rsidR="00355749" w:rsidRDefault="00355749" w:rsidP="00DD14CB">
            <w:pPr>
              <w:pStyle w:val="NormalWeb"/>
              <w:jc w:val="center"/>
            </w:pPr>
            <w:r>
              <w:t>4.9</w:t>
            </w:r>
          </w:p>
        </w:tc>
        <w:tc>
          <w:tcPr>
            <w:tcW w:w="746" w:type="dxa"/>
            <w:tcBorders>
              <w:left w:val="single" w:sz="2" w:space="0" w:color="808080" w:themeColor="background1" w:themeShade="80"/>
              <w:right w:val="single" w:sz="2" w:space="0" w:color="808080" w:themeColor="background1" w:themeShade="80"/>
            </w:tcBorders>
            <w:hideMark/>
          </w:tcPr>
          <w:p w:rsidR="00355749" w:rsidRDefault="00355749" w:rsidP="00DD14CB">
            <w:pPr>
              <w:pStyle w:val="NormalWeb"/>
              <w:jc w:val="center"/>
            </w:pPr>
            <w:r>
              <w:t>21</w:t>
            </w:r>
          </w:p>
        </w:tc>
        <w:tc>
          <w:tcPr>
            <w:tcW w:w="745" w:type="dxa"/>
            <w:tcBorders>
              <w:left w:val="single" w:sz="2" w:space="0" w:color="808080" w:themeColor="background1" w:themeShade="80"/>
              <w:right w:val="single" w:sz="2" w:space="0" w:color="808080" w:themeColor="background1" w:themeShade="80"/>
            </w:tcBorders>
            <w:hideMark/>
          </w:tcPr>
          <w:p w:rsidR="00355749" w:rsidRDefault="00355749" w:rsidP="00DD14CB">
            <w:pPr>
              <w:pStyle w:val="NormalWeb"/>
              <w:jc w:val="center"/>
            </w:pPr>
            <w:r>
              <w:t>3.2</w:t>
            </w:r>
          </w:p>
        </w:tc>
        <w:tc>
          <w:tcPr>
            <w:tcW w:w="745" w:type="dxa"/>
            <w:tcBorders>
              <w:left w:val="single" w:sz="2" w:space="0" w:color="808080" w:themeColor="background1" w:themeShade="80"/>
              <w:right w:val="single" w:sz="2" w:space="0" w:color="808080" w:themeColor="background1" w:themeShade="80"/>
            </w:tcBorders>
            <w:hideMark/>
          </w:tcPr>
          <w:p w:rsidR="00355749" w:rsidRDefault="00355749" w:rsidP="00DD14CB">
            <w:pPr>
              <w:pStyle w:val="NormalWeb"/>
              <w:jc w:val="center"/>
            </w:pPr>
            <w:r>
              <w:t>7</w:t>
            </w:r>
          </w:p>
        </w:tc>
        <w:tc>
          <w:tcPr>
            <w:tcW w:w="745" w:type="dxa"/>
            <w:tcBorders>
              <w:left w:val="single" w:sz="2" w:space="0" w:color="808080" w:themeColor="background1" w:themeShade="80"/>
              <w:right w:val="single" w:sz="2" w:space="0" w:color="808080" w:themeColor="background1" w:themeShade="80"/>
            </w:tcBorders>
            <w:hideMark/>
          </w:tcPr>
          <w:p w:rsidR="00355749" w:rsidRDefault="00355749" w:rsidP="00DD14CB">
            <w:pPr>
              <w:pStyle w:val="NormalWeb"/>
              <w:jc w:val="center"/>
            </w:pPr>
            <w:r>
              <w:t>1.0</w:t>
            </w:r>
          </w:p>
        </w:tc>
        <w:tc>
          <w:tcPr>
            <w:tcW w:w="745" w:type="dxa"/>
            <w:tcBorders>
              <w:left w:val="single" w:sz="2" w:space="0" w:color="808080" w:themeColor="background1" w:themeShade="80"/>
              <w:right w:val="single" w:sz="2" w:space="0" w:color="808080" w:themeColor="background1" w:themeShade="80"/>
            </w:tcBorders>
            <w:hideMark/>
          </w:tcPr>
          <w:p w:rsidR="00355749" w:rsidRDefault="00355749" w:rsidP="00DD14CB">
            <w:pPr>
              <w:pStyle w:val="NormalWeb"/>
              <w:jc w:val="center"/>
            </w:pPr>
            <w:r>
              <w:t>32</w:t>
            </w:r>
          </w:p>
        </w:tc>
        <w:tc>
          <w:tcPr>
            <w:tcW w:w="746" w:type="dxa"/>
            <w:tcBorders>
              <w:left w:val="single" w:sz="2" w:space="0" w:color="808080" w:themeColor="background1" w:themeShade="80"/>
              <w:right w:val="single" w:sz="2" w:space="0" w:color="808080" w:themeColor="background1" w:themeShade="80"/>
            </w:tcBorders>
            <w:hideMark/>
          </w:tcPr>
          <w:p w:rsidR="00355749" w:rsidRDefault="00355749" w:rsidP="00DD14CB">
            <w:pPr>
              <w:pStyle w:val="NormalWeb"/>
              <w:jc w:val="center"/>
            </w:pPr>
            <w:r>
              <w:t>3.7</w:t>
            </w:r>
          </w:p>
        </w:tc>
        <w:tc>
          <w:tcPr>
            <w:tcW w:w="745" w:type="dxa"/>
            <w:tcBorders>
              <w:left w:val="single" w:sz="2" w:space="0" w:color="808080" w:themeColor="background1" w:themeShade="80"/>
              <w:right w:val="single" w:sz="2" w:space="0" w:color="808080" w:themeColor="background1" w:themeShade="80"/>
            </w:tcBorders>
            <w:hideMark/>
          </w:tcPr>
          <w:p w:rsidR="00355749" w:rsidRDefault="00355749" w:rsidP="00DD14CB">
            <w:pPr>
              <w:pStyle w:val="NormalWeb"/>
              <w:jc w:val="center"/>
            </w:pPr>
            <w:r>
              <w:t>11</w:t>
            </w:r>
          </w:p>
        </w:tc>
        <w:tc>
          <w:tcPr>
            <w:tcW w:w="745" w:type="dxa"/>
            <w:tcBorders>
              <w:left w:val="single" w:sz="2" w:space="0" w:color="808080" w:themeColor="background1" w:themeShade="80"/>
              <w:right w:val="single" w:sz="2" w:space="0" w:color="808080" w:themeColor="background1" w:themeShade="80"/>
            </w:tcBorders>
            <w:hideMark/>
          </w:tcPr>
          <w:p w:rsidR="00355749" w:rsidRDefault="00355749" w:rsidP="00DD14CB">
            <w:pPr>
              <w:pStyle w:val="NormalWeb"/>
              <w:jc w:val="center"/>
            </w:pPr>
            <w:r>
              <w:t>0.9</w:t>
            </w:r>
          </w:p>
        </w:tc>
        <w:tc>
          <w:tcPr>
            <w:tcW w:w="745" w:type="dxa"/>
            <w:tcBorders>
              <w:left w:val="single" w:sz="2" w:space="0" w:color="808080" w:themeColor="background1" w:themeShade="80"/>
              <w:right w:val="single" w:sz="2" w:space="0" w:color="808080" w:themeColor="background1" w:themeShade="80"/>
            </w:tcBorders>
            <w:hideMark/>
          </w:tcPr>
          <w:p w:rsidR="00355749" w:rsidRDefault="00355749" w:rsidP="00DD14CB">
            <w:pPr>
              <w:pStyle w:val="NormalWeb"/>
              <w:jc w:val="center"/>
            </w:pPr>
            <w:r>
              <w:t>18</w:t>
            </w:r>
          </w:p>
        </w:tc>
        <w:tc>
          <w:tcPr>
            <w:tcW w:w="746" w:type="dxa"/>
            <w:tcBorders>
              <w:left w:val="single" w:sz="2" w:space="0" w:color="808080" w:themeColor="background1" w:themeShade="80"/>
            </w:tcBorders>
            <w:hideMark/>
          </w:tcPr>
          <w:p w:rsidR="00355749" w:rsidRDefault="00355749" w:rsidP="00DD14CB">
            <w:pPr>
              <w:pStyle w:val="NormalWeb"/>
              <w:jc w:val="center"/>
            </w:pPr>
            <w:r>
              <w:t>1.3</w:t>
            </w:r>
          </w:p>
        </w:tc>
      </w:tr>
      <w:tr w:rsidR="00EB18D4" w:rsidTr="00956B34">
        <w:trPr>
          <w:cnfStyle w:val="000000010000" w:firstRow="0" w:lastRow="0" w:firstColumn="0" w:lastColumn="0" w:oddVBand="0" w:evenVBand="0" w:oddHBand="0" w:evenHBand="1" w:firstRowFirstColumn="0" w:firstRowLastColumn="0" w:lastRowFirstColumn="0" w:lastRowLastColumn="0"/>
        </w:trPr>
        <w:tc>
          <w:tcPr>
            <w:tcW w:w="0" w:type="auto"/>
            <w:tcBorders>
              <w:right w:val="single" w:sz="2" w:space="0" w:color="808080" w:themeColor="background1" w:themeShade="80"/>
            </w:tcBorders>
            <w:hideMark/>
          </w:tcPr>
          <w:p w:rsidR="00355749" w:rsidRDefault="00355749">
            <w:pPr>
              <w:pStyle w:val="NormalWeb"/>
            </w:pPr>
            <w:r>
              <w:t>SA</w:t>
            </w:r>
          </w:p>
        </w:tc>
        <w:tc>
          <w:tcPr>
            <w:tcW w:w="745" w:type="dxa"/>
            <w:tcBorders>
              <w:left w:val="single" w:sz="2" w:space="0" w:color="808080" w:themeColor="background1" w:themeShade="80"/>
              <w:right w:val="single" w:sz="2" w:space="0" w:color="808080" w:themeColor="background1" w:themeShade="80"/>
            </w:tcBorders>
            <w:hideMark/>
          </w:tcPr>
          <w:p w:rsidR="00355749" w:rsidRDefault="00355749" w:rsidP="00DD14CB">
            <w:pPr>
              <w:pStyle w:val="NormalWeb"/>
              <w:jc w:val="center"/>
            </w:pPr>
            <w:r>
              <w:t>12</w:t>
            </w:r>
          </w:p>
        </w:tc>
        <w:tc>
          <w:tcPr>
            <w:tcW w:w="745" w:type="dxa"/>
            <w:tcBorders>
              <w:left w:val="single" w:sz="2" w:space="0" w:color="808080" w:themeColor="background1" w:themeShade="80"/>
              <w:right w:val="single" w:sz="2" w:space="0" w:color="808080" w:themeColor="background1" w:themeShade="80"/>
            </w:tcBorders>
            <w:hideMark/>
          </w:tcPr>
          <w:p w:rsidR="00355749" w:rsidRDefault="00355749" w:rsidP="00DD14CB">
            <w:pPr>
              <w:pStyle w:val="NormalWeb"/>
              <w:jc w:val="center"/>
            </w:pPr>
            <w:r>
              <w:t>11.6</w:t>
            </w:r>
          </w:p>
        </w:tc>
        <w:tc>
          <w:tcPr>
            <w:tcW w:w="745" w:type="dxa"/>
            <w:tcBorders>
              <w:left w:val="single" w:sz="2" w:space="0" w:color="808080" w:themeColor="background1" w:themeShade="80"/>
              <w:right w:val="single" w:sz="2" w:space="0" w:color="808080" w:themeColor="background1" w:themeShade="80"/>
            </w:tcBorders>
            <w:hideMark/>
          </w:tcPr>
          <w:p w:rsidR="00355749" w:rsidRDefault="00355749" w:rsidP="00DD14CB">
            <w:pPr>
              <w:pStyle w:val="NormalWeb"/>
              <w:jc w:val="center"/>
            </w:pPr>
            <w:r>
              <w:t>1</w:t>
            </w:r>
          </w:p>
        </w:tc>
        <w:tc>
          <w:tcPr>
            <w:tcW w:w="745" w:type="dxa"/>
            <w:tcBorders>
              <w:left w:val="single" w:sz="2" w:space="0" w:color="808080" w:themeColor="background1" w:themeShade="80"/>
              <w:right w:val="single" w:sz="2" w:space="0" w:color="808080" w:themeColor="background1" w:themeShade="80"/>
            </w:tcBorders>
            <w:hideMark/>
          </w:tcPr>
          <w:p w:rsidR="00355749" w:rsidRDefault="00355749" w:rsidP="00DD14CB">
            <w:pPr>
              <w:pStyle w:val="NormalWeb"/>
              <w:jc w:val="center"/>
            </w:pPr>
            <w:r>
              <w:t>0.7</w:t>
            </w:r>
          </w:p>
        </w:tc>
        <w:tc>
          <w:tcPr>
            <w:tcW w:w="746" w:type="dxa"/>
            <w:tcBorders>
              <w:left w:val="single" w:sz="2" w:space="0" w:color="808080" w:themeColor="background1" w:themeShade="80"/>
              <w:right w:val="single" w:sz="2" w:space="0" w:color="808080" w:themeColor="background1" w:themeShade="80"/>
            </w:tcBorders>
            <w:hideMark/>
          </w:tcPr>
          <w:p w:rsidR="00355749" w:rsidRDefault="00355749" w:rsidP="00DD14CB">
            <w:pPr>
              <w:pStyle w:val="NormalWeb"/>
              <w:jc w:val="center"/>
            </w:pPr>
            <w:r>
              <w:t>1</w:t>
            </w:r>
          </w:p>
        </w:tc>
        <w:tc>
          <w:tcPr>
            <w:tcW w:w="745" w:type="dxa"/>
            <w:tcBorders>
              <w:left w:val="single" w:sz="2" w:space="0" w:color="808080" w:themeColor="background1" w:themeShade="80"/>
              <w:right w:val="single" w:sz="2" w:space="0" w:color="808080" w:themeColor="background1" w:themeShade="80"/>
            </w:tcBorders>
            <w:hideMark/>
          </w:tcPr>
          <w:p w:rsidR="00355749" w:rsidRDefault="00355749" w:rsidP="00DD14CB">
            <w:pPr>
              <w:pStyle w:val="NormalWeb"/>
              <w:jc w:val="center"/>
            </w:pPr>
            <w:r>
              <w:t>0.7</w:t>
            </w:r>
          </w:p>
        </w:tc>
        <w:tc>
          <w:tcPr>
            <w:tcW w:w="745" w:type="dxa"/>
            <w:tcBorders>
              <w:left w:val="single" w:sz="2" w:space="0" w:color="808080" w:themeColor="background1" w:themeShade="80"/>
              <w:right w:val="single" w:sz="2" w:space="0" w:color="808080" w:themeColor="background1" w:themeShade="80"/>
            </w:tcBorders>
            <w:hideMark/>
          </w:tcPr>
          <w:p w:rsidR="00355749" w:rsidRDefault="00355749" w:rsidP="00DD14CB">
            <w:pPr>
              <w:pStyle w:val="NormalWeb"/>
              <w:jc w:val="center"/>
            </w:pPr>
            <w:r>
              <w:t>4</w:t>
            </w:r>
          </w:p>
        </w:tc>
        <w:tc>
          <w:tcPr>
            <w:tcW w:w="745" w:type="dxa"/>
            <w:tcBorders>
              <w:left w:val="single" w:sz="2" w:space="0" w:color="808080" w:themeColor="background1" w:themeShade="80"/>
              <w:right w:val="single" w:sz="2" w:space="0" w:color="808080" w:themeColor="background1" w:themeShade="80"/>
            </w:tcBorders>
            <w:hideMark/>
          </w:tcPr>
          <w:p w:rsidR="00355749" w:rsidRDefault="00355749" w:rsidP="00DD14CB">
            <w:pPr>
              <w:pStyle w:val="NormalWeb"/>
              <w:jc w:val="center"/>
            </w:pPr>
            <w:r>
              <w:t>1.9</w:t>
            </w:r>
          </w:p>
        </w:tc>
        <w:tc>
          <w:tcPr>
            <w:tcW w:w="746" w:type="dxa"/>
            <w:tcBorders>
              <w:left w:val="single" w:sz="2" w:space="0" w:color="808080" w:themeColor="background1" w:themeShade="80"/>
              <w:right w:val="single" w:sz="2" w:space="0" w:color="808080" w:themeColor="background1" w:themeShade="80"/>
            </w:tcBorders>
            <w:hideMark/>
          </w:tcPr>
          <w:p w:rsidR="00355749" w:rsidRDefault="00355749" w:rsidP="00DD14CB">
            <w:pPr>
              <w:pStyle w:val="NormalWeb"/>
              <w:jc w:val="center"/>
            </w:pPr>
            <w:r>
              <w:t>2</w:t>
            </w:r>
          </w:p>
        </w:tc>
        <w:tc>
          <w:tcPr>
            <w:tcW w:w="745" w:type="dxa"/>
            <w:tcBorders>
              <w:left w:val="single" w:sz="2" w:space="0" w:color="808080" w:themeColor="background1" w:themeShade="80"/>
              <w:right w:val="single" w:sz="2" w:space="0" w:color="808080" w:themeColor="background1" w:themeShade="80"/>
            </w:tcBorders>
            <w:hideMark/>
          </w:tcPr>
          <w:p w:rsidR="00355749" w:rsidRDefault="00355749" w:rsidP="00DD14CB">
            <w:pPr>
              <w:pStyle w:val="NormalWeb"/>
              <w:jc w:val="center"/>
            </w:pPr>
            <w:r>
              <w:t>1.0</w:t>
            </w:r>
          </w:p>
        </w:tc>
        <w:tc>
          <w:tcPr>
            <w:tcW w:w="745" w:type="dxa"/>
            <w:tcBorders>
              <w:left w:val="single" w:sz="2" w:space="0" w:color="808080" w:themeColor="background1" w:themeShade="80"/>
              <w:right w:val="single" w:sz="2" w:space="0" w:color="808080" w:themeColor="background1" w:themeShade="80"/>
            </w:tcBorders>
            <w:hideMark/>
          </w:tcPr>
          <w:p w:rsidR="00355749" w:rsidRDefault="00355749" w:rsidP="00DD14CB">
            <w:pPr>
              <w:pStyle w:val="NormalWeb"/>
              <w:jc w:val="center"/>
            </w:pPr>
            <w:r>
              <w:t>9</w:t>
            </w:r>
          </w:p>
        </w:tc>
        <w:tc>
          <w:tcPr>
            <w:tcW w:w="745" w:type="dxa"/>
            <w:tcBorders>
              <w:left w:val="single" w:sz="2" w:space="0" w:color="808080" w:themeColor="background1" w:themeShade="80"/>
              <w:right w:val="single" w:sz="2" w:space="0" w:color="808080" w:themeColor="background1" w:themeShade="80"/>
            </w:tcBorders>
            <w:hideMark/>
          </w:tcPr>
          <w:p w:rsidR="00355749" w:rsidRDefault="00355749" w:rsidP="00DD14CB">
            <w:pPr>
              <w:pStyle w:val="NormalWeb"/>
              <w:jc w:val="center"/>
            </w:pPr>
            <w:r>
              <w:t>3.6</w:t>
            </w:r>
          </w:p>
        </w:tc>
        <w:tc>
          <w:tcPr>
            <w:tcW w:w="745" w:type="dxa"/>
            <w:tcBorders>
              <w:left w:val="single" w:sz="2" w:space="0" w:color="808080" w:themeColor="background1" w:themeShade="80"/>
              <w:right w:val="single" w:sz="2" w:space="0" w:color="808080" w:themeColor="background1" w:themeShade="80"/>
            </w:tcBorders>
            <w:hideMark/>
          </w:tcPr>
          <w:p w:rsidR="00355749" w:rsidRDefault="00355749" w:rsidP="00DD14CB">
            <w:pPr>
              <w:pStyle w:val="NormalWeb"/>
              <w:jc w:val="center"/>
            </w:pPr>
            <w:r>
              <w:t>2</w:t>
            </w:r>
          </w:p>
        </w:tc>
        <w:tc>
          <w:tcPr>
            <w:tcW w:w="746" w:type="dxa"/>
            <w:tcBorders>
              <w:left w:val="single" w:sz="2" w:space="0" w:color="808080" w:themeColor="background1" w:themeShade="80"/>
              <w:right w:val="single" w:sz="2" w:space="0" w:color="808080" w:themeColor="background1" w:themeShade="80"/>
            </w:tcBorders>
            <w:hideMark/>
          </w:tcPr>
          <w:p w:rsidR="00355749" w:rsidRDefault="00355749" w:rsidP="00DD14CB">
            <w:pPr>
              <w:pStyle w:val="NormalWeb"/>
              <w:jc w:val="center"/>
            </w:pPr>
            <w:r>
              <w:t>0.6</w:t>
            </w:r>
          </w:p>
        </w:tc>
        <w:tc>
          <w:tcPr>
            <w:tcW w:w="745" w:type="dxa"/>
            <w:tcBorders>
              <w:left w:val="single" w:sz="2" w:space="0" w:color="808080" w:themeColor="background1" w:themeShade="80"/>
              <w:right w:val="single" w:sz="2" w:space="0" w:color="808080" w:themeColor="background1" w:themeShade="80"/>
            </w:tcBorders>
            <w:hideMark/>
          </w:tcPr>
          <w:p w:rsidR="00355749" w:rsidRDefault="00355749" w:rsidP="00DD14CB">
            <w:pPr>
              <w:pStyle w:val="NormalWeb"/>
              <w:jc w:val="center"/>
            </w:pPr>
            <w:r>
              <w:t>2</w:t>
            </w:r>
          </w:p>
        </w:tc>
        <w:tc>
          <w:tcPr>
            <w:tcW w:w="745" w:type="dxa"/>
            <w:tcBorders>
              <w:left w:val="single" w:sz="2" w:space="0" w:color="808080" w:themeColor="background1" w:themeShade="80"/>
              <w:right w:val="single" w:sz="2" w:space="0" w:color="808080" w:themeColor="background1" w:themeShade="80"/>
            </w:tcBorders>
            <w:hideMark/>
          </w:tcPr>
          <w:p w:rsidR="00355749" w:rsidRDefault="00355749" w:rsidP="00DD14CB">
            <w:pPr>
              <w:pStyle w:val="NormalWeb"/>
              <w:jc w:val="center"/>
            </w:pPr>
            <w:r>
              <w:t>0.6</w:t>
            </w:r>
          </w:p>
        </w:tc>
        <w:tc>
          <w:tcPr>
            <w:tcW w:w="745" w:type="dxa"/>
            <w:tcBorders>
              <w:left w:val="single" w:sz="2" w:space="0" w:color="808080" w:themeColor="background1" w:themeShade="80"/>
              <w:right w:val="single" w:sz="2" w:space="0" w:color="808080" w:themeColor="background1" w:themeShade="80"/>
            </w:tcBorders>
            <w:hideMark/>
          </w:tcPr>
          <w:p w:rsidR="00355749" w:rsidRDefault="00355749" w:rsidP="00DD14CB">
            <w:pPr>
              <w:pStyle w:val="NormalWeb"/>
              <w:jc w:val="center"/>
            </w:pPr>
            <w:r>
              <w:t>3</w:t>
            </w:r>
          </w:p>
        </w:tc>
        <w:tc>
          <w:tcPr>
            <w:tcW w:w="746" w:type="dxa"/>
            <w:tcBorders>
              <w:left w:val="single" w:sz="2" w:space="0" w:color="808080" w:themeColor="background1" w:themeShade="80"/>
            </w:tcBorders>
            <w:hideMark/>
          </w:tcPr>
          <w:p w:rsidR="00355749" w:rsidRDefault="00355749" w:rsidP="00DD14CB">
            <w:pPr>
              <w:pStyle w:val="NormalWeb"/>
              <w:jc w:val="center"/>
            </w:pPr>
            <w:r>
              <w:t>1.3</w:t>
            </w:r>
          </w:p>
        </w:tc>
      </w:tr>
      <w:tr w:rsidR="00FC33AF" w:rsidTr="00956B34">
        <w:tc>
          <w:tcPr>
            <w:tcW w:w="0" w:type="auto"/>
            <w:tcBorders>
              <w:right w:val="single" w:sz="2" w:space="0" w:color="808080" w:themeColor="background1" w:themeShade="80"/>
            </w:tcBorders>
            <w:hideMark/>
          </w:tcPr>
          <w:p w:rsidR="00355749" w:rsidRDefault="00355749">
            <w:pPr>
              <w:pStyle w:val="NormalWeb"/>
            </w:pPr>
            <w:r>
              <w:t>Tas</w:t>
            </w:r>
          </w:p>
        </w:tc>
        <w:tc>
          <w:tcPr>
            <w:tcW w:w="745" w:type="dxa"/>
            <w:tcBorders>
              <w:left w:val="single" w:sz="2" w:space="0" w:color="808080" w:themeColor="background1" w:themeShade="80"/>
              <w:right w:val="single" w:sz="2" w:space="0" w:color="808080" w:themeColor="background1" w:themeShade="80"/>
            </w:tcBorders>
            <w:hideMark/>
          </w:tcPr>
          <w:p w:rsidR="00355749" w:rsidRDefault="00355749" w:rsidP="00DD14CB">
            <w:pPr>
              <w:pStyle w:val="NormalWeb"/>
              <w:jc w:val="center"/>
            </w:pPr>
            <w:r>
              <w:t>0</w:t>
            </w:r>
          </w:p>
        </w:tc>
        <w:tc>
          <w:tcPr>
            <w:tcW w:w="745" w:type="dxa"/>
            <w:tcBorders>
              <w:left w:val="single" w:sz="2" w:space="0" w:color="808080" w:themeColor="background1" w:themeShade="80"/>
              <w:right w:val="single" w:sz="2" w:space="0" w:color="808080" w:themeColor="background1" w:themeShade="80"/>
            </w:tcBorders>
            <w:hideMark/>
          </w:tcPr>
          <w:p w:rsidR="00355749" w:rsidRDefault="00355749" w:rsidP="00DD14CB">
            <w:pPr>
              <w:pStyle w:val="NormalWeb"/>
              <w:jc w:val="center"/>
            </w:pPr>
            <w:r>
              <w:t>0</w:t>
            </w:r>
          </w:p>
        </w:tc>
        <w:tc>
          <w:tcPr>
            <w:tcW w:w="745" w:type="dxa"/>
            <w:tcBorders>
              <w:left w:val="single" w:sz="2" w:space="0" w:color="808080" w:themeColor="background1" w:themeShade="80"/>
              <w:right w:val="single" w:sz="2" w:space="0" w:color="808080" w:themeColor="background1" w:themeShade="80"/>
            </w:tcBorders>
            <w:hideMark/>
          </w:tcPr>
          <w:p w:rsidR="00355749" w:rsidRDefault="00355749" w:rsidP="00DD14CB">
            <w:pPr>
              <w:pStyle w:val="NormalWeb"/>
              <w:jc w:val="center"/>
            </w:pPr>
            <w:r>
              <w:t>0</w:t>
            </w:r>
          </w:p>
        </w:tc>
        <w:tc>
          <w:tcPr>
            <w:tcW w:w="745" w:type="dxa"/>
            <w:tcBorders>
              <w:left w:val="single" w:sz="2" w:space="0" w:color="808080" w:themeColor="background1" w:themeShade="80"/>
              <w:right w:val="single" w:sz="2" w:space="0" w:color="808080" w:themeColor="background1" w:themeShade="80"/>
            </w:tcBorders>
            <w:hideMark/>
          </w:tcPr>
          <w:p w:rsidR="00355749" w:rsidRDefault="00355749" w:rsidP="00DD14CB">
            <w:pPr>
              <w:pStyle w:val="NormalWeb"/>
              <w:jc w:val="center"/>
            </w:pPr>
            <w:r>
              <w:t>0</w:t>
            </w:r>
          </w:p>
        </w:tc>
        <w:tc>
          <w:tcPr>
            <w:tcW w:w="746" w:type="dxa"/>
            <w:tcBorders>
              <w:left w:val="single" w:sz="2" w:space="0" w:color="808080" w:themeColor="background1" w:themeShade="80"/>
              <w:right w:val="single" w:sz="2" w:space="0" w:color="808080" w:themeColor="background1" w:themeShade="80"/>
            </w:tcBorders>
            <w:hideMark/>
          </w:tcPr>
          <w:p w:rsidR="00355749" w:rsidRDefault="00355749" w:rsidP="00DD14CB">
            <w:pPr>
              <w:pStyle w:val="NormalWeb"/>
              <w:jc w:val="center"/>
            </w:pPr>
            <w:r>
              <w:t>0</w:t>
            </w:r>
          </w:p>
        </w:tc>
        <w:tc>
          <w:tcPr>
            <w:tcW w:w="745" w:type="dxa"/>
            <w:tcBorders>
              <w:left w:val="single" w:sz="2" w:space="0" w:color="808080" w:themeColor="background1" w:themeShade="80"/>
              <w:right w:val="single" w:sz="2" w:space="0" w:color="808080" w:themeColor="background1" w:themeShade="80"/>
            </w:tcBorders>
            <w:hideMark/>
          </w:tcPr>
          <w:p w:rsidR="00355749" w:rsidRDefault="00355749" w:rsidP="00DD14CB">
            <w:pPr>
              <w:pStyle w:val="NormalWeb"/>
              <w:jc w:val="center"/>
            </w:pPr>
            <w:r>
              <w:t>0</w:t>
            </w:r>
          </w:p>
        </w:tc>
        <w:tc>
          <w:tcPr>
            <w:tcW w:w="745" w:type="dxa"/>
            <w:tcBorders>
              <w:left w:val="single" w:sz="2" w:space="0" w:color="808080" w:themeColor="background1" w:themeShade="80"/>
              <w:right w:val="single" w:sz="2" w:space="0" w:color="808080" w:themeColor="background1" w:themeShade="80"/>
            </w:tcBorders>
            <w:hideMark/>
          </w:tcPr>
          <w:p w:rsidR="00355749" w:rsidRDefault="00355749" w:rsidP="00DD14CB">
            <w:pPr>
              <w:pStyle w:val="NormalWeb"/>
              <w:jc w:val="center"/>
            </w:pPr>
            <w:r>
              <w:t>11</w:t>
            </w:r>
          </w:p>
        </w:tc>
        <w:tc>
          <w:tcPr>
            <w:tcW w:w="745" w:type="dxa"/>
            <w:tcBorders>
              <w:left w:val="single" w:sz="2" w:space="0" w:color="808080" w:themeColor="background1" w:themeShade="80"/>
              <w:right w:val="single" w:sz="2" w:space="0" w:color="808080" w:themeColor="background1" w:themeShade="80"/>
            </w:tcBorders>
            <w:hideMark/>
          </w:tcPr>
          <w:p w:rsidR="00355749" w:rsidRDefault="00355749" w:rsidP="00DD14CB">
            <w:pPr>
              <w:pStyle w:val="NormalWeb"/>
              <w:jc w:val="center"/>
            </w:pPr>
            <w:r>
              <w:t>24.4</w:t>
            </w:r>
          </w:p>
        </w:tc>
        <w:tc>
          <w:tcPr>
            <w:tcW w:w="746" w:type="dxa"/>
            <w:tcBorders>
              <w:left w:val="single" w:sz="2" w:space="0" w:color="808080" w:themeColor="background1" w:themeShade="80"/>
              <w:right w:val="single" w:sz="2" w:space="0" w:color="808080" w:themeColor="background1" w:themeShade="80"/>
            </w:tcBorders>
            <w:hideMark/>
          </w:tcPr>
          <w:p w:rsidR="00355749" w:rsidRDefault="00355749" w:rsidP="00DD14CB">
            <w:pPr>
              <w:pStyle w:val="NormalWeb"/>
              <w:jc w:val="center"/>
            </w:pPr>
            <w:r>
              <w:t>0</w:t>
            </w:r>
          </w:p>
        </w:tc>
        <w:tc>
          <w:tcPr>
            <w:tcW w:w="745" w:type="dxa"/>
            <w:tcBorders>
              <w:left w:val="single" w:sz="2" w:space="0" w:color="808080" w:themeColor="background1" w:themeShade="80"/>
              <w:right w:val="single" w:sz="2" w:space="0" w:color="808080" w:themeColor="background1" w:themeShade="80"/>
            </w:tcBorders>
            <w:hideMark/>
          </w:tcPr>
          <w:p w:rsidR="00355749" w:rsidRDefault="00355749" w:rsidP="00DD14CB">
            <w:pPr>
              <w:pStyle w:val="NormalWeb"/>
              <w:jc w:val="center"/>
            </w:pPr>
            <w:r>
              <w:t>0</w:t>
            </w:r>
          </w:p>
        </w:tc>
        <w:tc>
          <w:tcPr>
            <w:tcW w:w="745" w:type="dxa"/>
            <w:tcBorders>
              <w:left w:val="single" w:sz="2" w:space="0" w:color="808080" w:themeColor="background1" w:themeShade="80"/>
              <w:right w:val="single" w:sz="2" w:space="0" w:color="808080" w:themeColor="background1" w:themeShade="80"/>
            </w:tcBorders>
            <w:hideMark/>
          </w:tcPr>
          <w:p w:rsidR="00355749" w:rsidRDefault="00355749" w:rsidP="00DD14CB">
            <w:pPr>
              <w:pStyle w:val="NormalWeb"/>
              <w:jc w:val="center"/>
            </w:pPr>
            <w:r>
              <w:t>0</w:t>
            </w:r>
          </w:p>
        </w:tc>
        <w:tc>
          <w:tcPr>
            <w:tcW w:w="745" w:type="dxa"/>
            <w:tcBorders>
              <w:left w:val="single" w:sz="2" w:space="0" w:color="808080" w:themeColor="background1" w:themeShade="80"/>
              <w:right w:val="single" w:sz="2" w:space="0" w:color="808080" w:themeColor="background1" w:themeShade="80"/>
            </w:tcBorders>
            <w:hideMark/>
          </w:tcPr>
          <w:p w:rsidR="00355749" w:rsidRDefault="00355749" w:rsidP="00DD14CB">
            <w:pPr>
              <w:pStyle w:val="NormalWeb"/>
              <w:jc w:val="center"/>
            </w:pPr>
            <w:r>
              <w:t>0</w:t>
            </w:r>
          </w:p>
        </w:tc>
        <w:tc>
          <w:tcPr>
            <w:tcW w:w="745" w:type="dxa"/>
            <w:tcBorders>
              <w:left w:val="single" w:sz="2" w:space="0" w:color="808080" w:themeColor="background1" w:themeShade="80"/>
              <w:right w:val="single" w:sz="2" w:space="0" w:color="808080" w:themeColor="background1" w:themeShade="80"/>
            </w:tcBorders>
            <w:hideMark/>
          </w:tcPr>
          <w:p w:rsidR="00355749" w:rsidRDefault="00355749" w:rsidP="00DD14CB">
            <w:pPr>
              <w:pStyle w:val="NormalWeb"/>
              <w:jc w:val="center"/>
            </w:pPr>
            <w:r>
              <w:t>1</w:t>
            </w:r>
          </w:p>
        </w:tc>
        <w:tc>
          <w:tcPr>
            <w:tcW w:w="746" w:type="dxa"/>
            <w:tcBorders>
              <w:left w:val="single" w:sz="2" w:space="0" w:color="808080" w:themeColor="background1" w:themeShade="80"/>
              <w:right w:val="single" w:sz="2" w:space="0" w:color="808080" w:themeColor="background1" w:themeShade="80"/>
            </w:tcBorders>
            <w:hideMark/>
          </w:tcPr>
          <w:p w:rsidR="00355749" w:rsidRDefault="00355749" w:rsidP="00DD14CB">
            <w:pPr>
              <w:pStyle w:val="NormalWeb"/>
              <w:jc w:val="center"/>
            </w:pPr>
            <w:r>
              <w:t>3.6</w:t>
            </w:r>
          </w:p>
        </w:tc>
        <w:tc>
          <w:tcPr>
            <w:tcW w:w="745" w:type="dxa"/>
            <w:tcBorders>
              <w:left w:val="single" w:sz="2" w:space="0" w:color="808080" w:themeColor="background1" w:themeShade="80"/>
              <w:right w:val="single" w:sz="2" w:space="0" w:color="808080" w:themeColor="background1" w:themeShade="80"/>
            </w:tcBorders>
            <w:hideMark/>
          </w:tcPr>
          <w:p w:rsidR="00355749" w:rsidRDefault="00355749" w:rsidP="00DD14CB">
            <w:pPr>
              <w:pStyle w:val="NormalWeb"/>
              <w:jc w:val="center"/>
            </w:pPr>
            <w:r>
              <w:t>0</w:t>
            </w:r>
          </w:p>
        </w:tc>
        <w:tc>
          <w:tcPr>
            <w:tcW w:w="745" w:type="dxa"/>
            <w:tcBorders>
              <w:left w:val="single" w:sz="2" w:space="0" w:color="808080" w:themeColor="background1" w:themeShade="80"/>
              <w:right w:val="single" w:sz="2" w:space="0" w:color="808080" w:themeColor="background1" w:themeShade="80"/>
            </w:tcBorders>
            <w:hideMark/>
          </w:tcPr>
          <w:p w:rsidR="00355749" w:rsidRDefault="00355749" w:rsidP="00DD14CB">
            <w:pPr>
              <w:pStyle w:val="NormalWeb"/>
              <w:jc w:val="center"/>
            </w:pPr>
            <w:r>
              <w:t>0</w:t>
            </w:r>
          </w:p>
        </w:tc>
        <w:tc>
          <w:tcPr>
            <w:tcW w:w="745" w:type="dxa"/>
            <w:tcBorders>
              <w:left w:val="single" w:sz="2" w:space="0" w:color="808080" w:themeColor="background1" w:themeShade="80"/>
              <w:right w:val="single" w:sz="2" w:space="0" w:color="808080" w:themeColor="background1" w:themeShade="80"/>
            </w:tcBorders>
            <w:hideMark/>
          </w:tcPr>
          <w:p w:rsidR="00355749" w:rsidRDefault="00355749" w:rsidP="00DD14CB">
            <w:pPr>
              <w:pStyle w:val="NormalWeb"/>
              <w:jc w:val="center"/>
            </w:pPr>
            <w:r>
              <w:t>4</w:t>
            </w:r>
          </w:p>
        </w:tc>
        <w:tc>
          <w:tcPr>
            <w:tcW w:w="746" w:type="dxa"/>
            <w:tcBorders>
              <w:left w:val="single" w:sz="2" w:space="0" w:color="808080" w:themeColor="background1" w:themeShade="80"/>
            </w:tcBorders>
            <w:hideMark/>
          </w:tcPr>
          <w:p w:rsidR="00355749" w:rsidRDefault="00355749" w:rsidP="00DD14CB">
            <w:pPr>
              <w:pStyle w:val="NormalWeb"/>
              <w:jc w:val="center"/>
            </w:pPr>
            <w:r>
              <w:t>7.3</w:t>
            </w:r>
          </w:p>
        </w:tc>
      </w:tr>
      <w:tr w:rsidR="00EB18D4" w:rsidTr="00956B34">
        <w:trPr>
          <w:cnfStyle w:val="000000010000" w:firstRow="0" w:lastRow="0" w:firstColumn="0" w:lastColumn="0" w:oddVBand="0" w:evenVBand="0" w:oddHBand="0" w:evenHBand="1" w:firstRowFirstColumn="0" w:firstRowLastColumn="0" w:lastRowFirstColumn="0" w:lastRowLastColumn="0"/>
        </w:trPr>
        <w:tc>
          <w:tcPr>
            <w:tcW w:w="0" w:type="auto"/>
            <w:tcBorders>
              <w:right w:val="single" w:sz="2" w:space="0" w:color="808080" w:themeColor="background1" w:themeShade="80"/>
            </w:tcBorders>
            <w:hideMark/>
          </w:tcPr>
          <w:p w:rsidR="00355749" w:rsidRDefault="00355749">
            <w:pPr>
              <w:pStyle w:val="NormalWeb"/>
            </w:pPr>
            <w:r>
              <w:t>Vic</w:t>
            </w:r>
          </w:p>
        </w:tc>
        <w:tc>
          <w:tcPr>
            <w:tcW w:w="745" w:type="dxa"/>
            <w:tcBorders>
              <w:left w:val="single" w:sz="2" w:space="0" w:color="808080" w:themeColor="background1" w:themeShade="80"/>
              <w:right w:val="single" w:sz="2" w:space="0" w:color="808080" w:themeColor="background1" w:themeShade="80"/>
            </w:tcBorders>
            <w:hideMark/>
          </w:tcPr>
          <w:p w:rsidR="00355749" w:rsidRDefault="00355749" w:rsidP="00DD14CB">
            <w:pPr>
              <w:pStyle w:val="NormalWeb"/>
              <w:jc w:val="center"/>
            </w:pPr>
            <w:r>
              <w:t>52</w:t>
            </w:r>
          </w:p>
        </w:tc>
        <w:tc>
          <w:tcPr>
            <w:tcW w:w="745" w:type="dxa"/>
            <w:tcBorders>
              <w:left w:val="single" w:sz="2" w:space="0" w:color="808080" w:themeColor="background1" w:themeShade="80"/>
              <w:right w:val="single" w:sz="2" w:space="0" w:color="808080" w:themeColor="background1" w:themeShade="80"/>
            </w:tcBorders>
            <w:hideMark/>
          </w:tcPr>
          <w:p w:rsidR="00355749" w:rsidRDefault="00355749" w:rsidP="00DD14CB">
            <w:pPr>
              <w:pStyle w:val="NormalWeb"/>
              <w:jc w:val="center"/>
            </w:pPr>
            <w:r>
              <w:t>5.7</w:t>
            </w:r>
          </w:p>
        </w:tc>
        <w:tc>
          <w:tcPr>
            <w:tcW w:w="745" w:type="dxa"/>
            <w:tcBorders>
              <w:left w:val="single" w:sz="2" w:space="0" w:color="808080" w:themeColor="background1" w:themeShade="80"/>
              <w:right w:val="single" w:sz="2" w:space="0" w:color="808080" w:themeColor="background1" w:themeShade="80"/>
            </w:tcBorders>
            <w:hideMark/>
          </w:tcPr>
          <w:p w:rsidR="00355749" w:rsidRDefault="00355749" w:rsidP="00DD14CB">
            <w:pPr>
              <w:pStyle w:val="NormalWeb"/>
              <w:jc w:val="center"/>
            </w:pPr>
            <w:r>
              <w:t>50</w:t>
            </w:r>
          </w:p>
        </w:tc>
        <w:tc>
          <w:tcPr>
            <w:tcW w:w="745" w:type="dxa"/>
            <w:tcBorders>
              <w:left w:val="single" w:sz="2" w:space="0" w:color="808080" w:themeColor="background1" w:themeShade="80"/>
              <w:right w:val="single" w:sz="2" w:space="0" w:color="808080" w:themeColor="background1" w:themeShade="80"/>
            </w:tcBorders>
            <w:hideMark/>
          </w:tcPr>
          <w:p w:rsidR="00355749" w:rsidRDefault="00355749" w:rsidP="00DD14CB">
            <w:pPr>
              <w:pStyle w:val="NormalWeb"/>
              <w:jc w:val="center"/>
            </w:pPr>
            <w:r>
              <w:t>5.3</w:t>
            </w:r>
          </w:p>
        </w:tc>
        <w:tc>
          <w:tcPr>
            <w:tcW w:w="746" w:type="dxa"/>
            <w:tcBorders>
              <w:left w:val="single" w:sz="2" w:space="0" w:color="808080" w:themeColor="background1" w:themeShade="80"/>
              <w:right w:val="single" w:sz="2" w:space="0" w:color="808080" w:themeColor="background1" w:themeShade="80"/>
            </w:tcBorders>
            <w:hideMark/>
          </w:tcPr>
          <w:p w:rsidR="00355749" w:rsidRDefault="00355749" w:rsidP="00DD14CB">
            <w:pPr>
              <w:pStyle w:val="NormalWeb"/>
              <w:jc w:val="center"/>
            </w:pPr>
            <w:r>
              <w:t>105</w:t>
            </w:r>
          </w:p>
        </w:tc>
        <w:tc>
          <w:tcPr>
            <w:tcW w:w="745" w:type="dxa"/>
            <w:tcBorders>
              <w:left w:val="single" w:sz="2" w:space="0" w:color="808080" w:themeColor="background1" w:themeShade="80"/>
              <w:right w:val="single" w:sz="2" w:space="0" w:color="808080" w:themeColor="background1" w:themeShade="80"/>
            </w:tcBorders>
            <w:hideMark/>
          </w:tcPr>
          <w:p w:rsidR="00355749" w:rsidRDefault="00355749" w:rsidP="00DD14CB">
            <w:pPr>
              <w:pStyle w:val="NormalWeb"/>
              <w:jc w:val="center"/>
            </w:pPr>
            <w:r>
              <w:t>8.4</w:t>
            </w:r>
          </w:p>
        </w:tc>
        <w:tc>
          <w:tcPr>
            <w:tcW w:w="745" w:type="dxa"/>
            <w:tcBorders>
              <w:left w:val="single" w:sz="2" w:space="0" w:color="808080" w:themeColor="background1" w:themeShade="80"/>
              <w:right w:val="single" w:sz="2" w:space="0" w:color="808080" w:themeColor="background1" w:themeShade="80"/>
            </w:tcBorders>
            <w:hideMark/>
          </w:tcPr>
          <w:p w:rsidR="00355749" w:rsidRDefault="00355749" w:rsidP="00DD14CB">
            <w:pPr>
              <w:pStyle w:val="NormalWeb"/>
              <w:jc w:val="center"/>
            </w:pPr>
            <w:r>
              <w:t>181</w:t>
            </w:r>
          </w:p>
        </w:tc>
        <w:tc>
          <w:tcPr>
            <w:tcW w:w="745" w:type="dxa"/>
            <w:tcBorders>
              <w:left w:val="single" w:sz="2" w:space="0" w:color="808080" w:themeColor="background1" w:themeShade="80"/>
              <w:right w:val="single" w:sz="2" w:space="0" w:color="808080" w:themeColor="background1" w:themeShade="80"/>
            </w:tcBorders>
            <w:hideMark/>
          </w:tcPr>
          <w:p w:rsidR="00355749" w:rsidRDefault="00355749" w:rsidP="00DD14CB">
            <w:pPr>
              <w:pStyle w:val="NormalWeb"/>
              <w:jc w:val="center"/>
            </w:pPr>
            <w:r>
              <w:t>11.8</w:t>
            </w:r>
          </w:p>
        </w:tc>
        <w:tc>
          <w:tcPr>
            <w:tcW w:w="746" w:type="dxa"/>
            <w:tcBorders>
              <w:left w:val="single" w:sz="2" w:space="0" w:color="808080" w:themeColor="background1" w:themeShade="80"/>
              <w:right w:val="single" w:sz="2" w:space="0" w:color="808080" w:themeColor="background1" w:themeShade="80"/>
            </w:tcBorders>
            <w:hideMark/>
          </w:tcPr>
          <w:p w:rsidR="00355749" w:rsidRDefault="00355749" w:rsidP="00DD14CB">
            <w:pPr>
              <w:pStyle w:val="NormalWeb"/>
              <w:jc w:val="center"/>
            </w:pPr>
            <w:r>
              <w:t>95</w:t>
            </w:r>
          </w:p>
        </w:tc>
        <w:tc>
          <w:tcPr>
            <w:tcW w:w="745" w:type="dxa"/>
            <w:tcBorders>
              <w:left w:val="single" w:sz="2" w:space="0" w:color="808080" w:themeColor="background1" w:themeShade="80"/>
              <w:right w:val="single" w:sz="2" w:space="0" w:color="808080" w:themeColor="background1" w:themeShade="80"/>
            </w:tcBorders>
            <w:hideMark/>
          </w:tcPr>
          <w:p w:rsidR="00355749" w:rsidRDefault="00355749" w:rsidP="00DD14CB">
            <w:pPr>
              <w:pStyle w:val="NormalWeb"/>
              <w:jc w:val="center"/>
            </w:pPr>
            <w:r>
              <w:t>6.6</w:t>
            </w:r>
          </w:p>
        </w:tc>
        <w:tc>
          <w:tcPr>
            <w:tcW w:w="745" w:type="dxa"/>
            <w:tcBorders>
              <w:left w:val="single" w:sz="2" w:space="0" w:color="808080" w:themeColor="background1" w:themeShade="80"/>
              <w:right w:val="single" w:sz="2" w:space="0" w:color="808080" w:themeColor="background1" w:themeShade="80"/>
            </w:tcBorders>
            <w:hideMark/>
          </w:tcPr>
          <w:p w:rsidR="00355749" w:rsidRDefault="00355749" w:rsidP="00DD14CB">
            <w:pPr>
              <w:pStyle w:val="NormalWeb"/>
              <w:jc w:val="center"/>
            </w:pPr>
            <w:r>
              <w:t>25</w:t>
            </w:r>
          </w:p>
        </w:tc>
        <w:tc>
          <w:tcPr>
            <w:tcW w:w="745" w:type="dxa"/>
            <w:tcBorders>
              <w:left w:val="single" w:sz="2" w:space="0" w:color="808080" w:themeColor="background1" w:themeShade="80"/>
              <w:right w:val="single" w:sz="2" w:space="0" w:color="808080" w:themeColor="background1" w:themeShade="80"/>
            </w:tcBorders>
            <w:hideMark/>
          </w:tcPr>
          <w:p w:rsidR="00355749" w:rsidRDefault="00355749" w:rsidP="00DD14CB">
            <w:pPr>
              <w:pStyle w:val="NormalWeb"/>
              <w:jc w:val="center"/>
            </w:pPr>
            <w:r>
              <w:t>1.5</w:t>
            </w:r>
          </w:p>
        </w:tc>
        <w:tc>
          <w:tcPr>
            <w:tcW w:w="745" w:type="dxa"/>
            <w:tcBorders>
              <w:left w:val="single" w:sz="2" w:space="0" w:color="808080" w:themeColor="background1" w:themeShade="80"/>
              <w:right w:val="single" w:sz="2" w:space="0" w:color="808080" w:themeColor="background1" w:themeShade="80"/>
            </w:tcBorders>
            <w:hideMark/>
          </w:tcPr>
          <w:p w:rsidR="00355749" w:rsidRDefault="00355749" w:rsidP="00DD14CB">
            <w:pPr>
              <w:pStyle w:val="NormalWeb"/>
              <w:jc w:val="center"/>
            </w:pPr>
            <w:r>
              <w:t>19</w:t>
            </w:r>
          </w:p>
        </w:tc>
        <w:tc>
          <w:tcPr>
            <w:tcW w:w="746" w:type="dxa"/>
            <w:tcBorders>
              <w:left w:val="single" w:sz="2" w:space="0" w:color="808080" w:themeColor="background1" w:themeShade="80"/>
              <w:right w:val="single" w:sz="2" w:space="0" w:color="808080" w:themeColor="background1" w:themeShade="80"/>
            </w:tcBorders>
            <w:hideMark/>
          </w:tcPr>
          <w:p w:rsidR="00355749" w:rsidRDefault="00355749" w:rsidP="00DD14CB">
            <w:pPr>
              <w:pStyle w:val="NormalWeb"/>
              <w:jc w:val="center"/>
            </w:pPr>
            <w:r>
              <w:t>1.1</w:t>
            </w:r>
          </w:p>
        </w:tc>
        <w:tc>
          <w:tcPr>
            <w:tcW w:w="745" w:type="dxa"/>
            <w:tcBorders>
              <w:left w:val="single" w:sz="2" w:space="0" w:color="808080" w:themeColor="background1" w:themeShade="80"/>
              <w:right w:val="single" w:sz="2" w:space="0" w:color="808080" w:themeColor="background1" w:themeShade="80"/>
            </w:tcBorders>
            <w:hideMark/>
          </w:tcPr>
          <w:p w:rsidR="00355749" w:rsidRDefault="00355749" w:rsidP="00DD14CB">
            <w:pPr>
              <w:pStyle w:val="NormalWeb"/>
              <w:jc w:val="center"/>
            </w:pPr>
            <w:r>
              <w:t>48</w:t>
            </w:r>
          </w:p>
        </w:tc>
        <w:tc>
          <w:tcPr>
            <w:tcW w:w="745" w:type="dxa"/>
            <w:tcBorders>
              <w:left w:val="single" w:sz="2" w:space="0" w:color="808080" w:themeColor="background1" w:themeShade="80"/>
              <w:right w:val="single" w:sz="2" w:space="0" w:color="808080" w:themeColor="background1" w:themeShade="80"/>
            </w:tcBorders>
            <w:hideMark/>
          </w:tcPr>
          <w:p w:rsidR="00355749" w:rsidRDefault="00355749" w:rsidP="00DD14CB">
            <w:pPr>
              <w:pStyle w:val="NormalWeb"/>
              <w:jc w:val="center"/>
            </w:pPr>
            <w:r>
              <w:t>2.1</w:t>
            </w:r>
          </w:p>
        </w:tc>
        <w:tc>
          <w:tcPr>
            <w:tcW w:w="745" w:type="dxa"/>
            <w:tcBorders>
              <w:left w:val="single" w:sz="2" w:space="0" w:color="808080" w:themeColor="background1" w:themeShade="80"/>
              <w:right w:val="single" w:sz="2" w:space="0" w:color="808080" w:themeColor="background1" w:themeShade="80"/>
            </w:tcBorders>
            <w:hideMark/>
          </w:tcPr>
          <w:p w:rsidR="00355749" w:rsidRDefault="00355749" w:rsidP="00DD14CB">
            <w:pPr>
              <w:pStyle w:val="NormalWeb"/>
              <w:jc w:val="center"/>
            </w:pPr>
            <w:r>
              <w:t>83</w:t>
            </w:r>
          </w:p>
        </w:tc>
        <w:tc>
          <w:tcPr>
            <w:tcW w:w="746" w:type="dxa"/>
            <w:tcBorders>
              <w:left w:val="single" w:sz="2" w:space="0" w:color="808080" w:themeColor="background1" w:themeShade="80"/>
            </w:tcBorders>
            <w:hideMark/>
          </w:tcPr>
          <w:p w:rsidR="00355749" w:rsidRDefault="00355749" w:rsidP="00DD14CB">
            <w:pPr>
              <w:pStyle w:val="NormalWeb"/>
              <w:jc w:val="center"/>
            </w:pPr>
            <w:r>
              <w:t>3.2</w:t>
            </w:r>
          </w:p>
        </w:tc>
      </w:tr>
      <w:tr w:rsidR="00FC33AF" w:rsidTr="00956B34">
        <w:tc>
          <w:tcPr>
            <w:tcW w:w="0" w:type="auto"/>
            <w:tcBorders>
              <w:right w:val="single" w:sz="2" w:space="0" w:color="808080" w:themeColor="background1" w:themeShade="80"/>
            </w:tcBorders>
            <w:hideMark/>
          </w:tcPr>
          <w:p w:rsidR="00355749" w:rsidRDefault="00355749">
            <w:pPr>
              <w:pStyle w:val="NormalWeb"/>
            </w:pPr>
            <w:r>
              <w:t>NT non-Remote</w:t>
            </w:r>
          </w:p>
        </w:tc>
        <w:tc>
          <w:tcPr>
            <w:tcW w:w="745" w:type="dxa"/>
            <w:tcBorders>
              <w:left w:val="single" w:sz="2" w:space="0" w:color="808080" w:themeColor="background1" w:themeShade="80"/>
              <w:right w:val="single" w:sz="2" w:space="0" w:color="808080" w:themeColor="background1" w:themeShade="80"/>
            </w:tcBorders>
            <w:hideMark/>
          </w:tcPr>
          <w:p w:rsidR="00355749" w:rsidRDefault="00355749" w:rsidP="00DD14CB">
            <w:pPr>
              <w:pStyle w:val="NormalWeb"/>
              <w:jc w:val="center"/>
            </w:pPr>
            <w:r>
              <w:t>1</w:t>
            </w:r>
          </w:p>
        </w:tc>
        <w:tc>
          <w:tcPr>
            <w:tcW w:w="745" w:type="dxa"/>
            <w:tcBorders>
              <w:left w:val="single" w:sz="2" w:space="0" w:color="808080" w:themeColor="background1" w:themeShade="80"/>
              <w:right w:val="single" w:sz="2" w:space="0" w:color="808080" w:themeColor="background1" w:themeShade="80"/>
            </w:tcBorders>
            <w:hideMark/>
          </w:tcPr>
          <w:p w:rsidR="00355749" w:rsidRDefault="00355749" w:rsidP="00DD14CB">
            <w:pPr>
              <w:pStyle w:val="NormalWeb"/>
              <w:jc w:val="center"/>
            </w:pPr>
            <w:r>
              <w:t>0.2</w:t>
            </w:r>
          </w:p>
        </w:tc>
        <w:tc>
          <w:tcPr>
            <w:tcW w:w="745" w:type="dxa"/>
            <w:tcBorders>
              <w:left w:val="single" w:sz="2" w:space="0" w:color="808080" w:themeColor="background1" w:themeShade="80"/>
              <w:right w:val="single" w:sz="2" w:space="0" w:color="808080" w:themeColor="background1" w:themeShade="80"/>
            </w:tcBorders>
            <w:hideMark/>
          </w:tcPr>
          <w:p w:rsidR="00355749" w:rsidRDefault="00355749" w:rsidP="00DD14CB">
            <w:pPr>
              <w:pStyle w:val="NormalWeb"/>
              <w:jc w:val="center"/>
            </w:pPr>
            <w:r>
              <w:t>2</w:t>
            </w:r>
          </w:p>
        </w:tc>
        <w:tc>
          <w:tcPr>
            <w:tcW w:w="745" w:type="dxa"/>
            <w:tcBorders>
              <w:left w:val="single" w:sz="2" w:space="0" w:color="808080" w:themeColor="background1" w:themeShade="80"/>
              <w:right w:val="single" w:sz="2" w:space="0" w:color="808080" w:themeColor="background1" w:themeShade="80"/>
            </w:tcBorders>
            <w:hideMark/>
          </w:tcPr>
          <w:p w:rsidR="00355749" w:rsidRDefault="00355749" w:rsidP="00DD14CB">
            <w:pPr>
              <w:pStyle w:val="NormalWeb"/>
              <w:jc w:val="center"/>
            </w:pPr>
            <w:r>
              <w:t>0.4</w:t>
            </w:r>
          </w:p>
        </w:tc>
        <w:tc>
          <w:tcPr>
            <w:tcW w:w="746" w:type="dxa"/>
            <w:tcBorders>
              <w:left w:val="single" w:sz="2" w:space="0" w:color="808080" w:themeColor="background1" w:themeShade="80"/>
              <w:right w:val="single" w:sz="2" w:space="0" w:color="808080" w:themeColor="background1" w:themeShade="80"/>
            </w:tcBorders>
            <w:hideMark/>
          </w:tcPr>
          <w:p w:rsidR="00355749" w:rsidRDefault="00355749" w:rsidP="00DD14CB">
            <w:pPr>
              <w:pStyle w:val="NormalWeb"/>
              <w:jc w:val="center"/>
            </w:pPr>
            <w:r>
              <w:t>0</w:t>
            </w:r>
          </w:p>
        </w:tc>
        <w:tc>
          <w:tcPr>
            <w:tcW w:w="745" w:type="dxa"/>
            <w:tcBorders>
              <w:left w:val="single" w:sz="2" w:space="0" w:color="808080" w:themeColor="background1" w:themeShade="80"/>
              <w:right w:val="single" w:sz="2" w:space="0" w:color="808080" w:themeColor="background1" w:themeShade="80"/>
            </w:tcBorders>
            <w:hideMark/>
          </w:tcPr>
          <w:p w:rsidR="00355749" w:rsidRDefault="00355749" w:rsidP="00DD14CB">
            <w:pPr>
              <w:pStyle w:val="NormalWeb"/>
              <w:jc w:val="center"/>
            </w:pPr>
            <w:r>
              <w:t>0</w:t>
            </w:r>
          </w:p>
        </w:tc>
        <w:tc>
          <w:tcPr>
            <w:tcW w:w="745" w:type="dxa"/>
            <w:tcBorders>
              <w:left w:val="single" w:sz="2" w:space="0" w:color="808080" w:themeColor="background1" w:themeShade="80"/>
              <w:right w:val="single" w:sz="2" w:space="0" w:color="808080" w:themeColor="background1" w:themeShade="80"/>
            </w:tcBorders>
            <w:hideMark/>
          </w:tcPr>
          <w:p w:rsidR="00355749" w:rsidRDefault="00355749" w:rsidP="00DD14CB">
            <w:pPr>
              <w:pStyle w:val="NormalWeb"/>
              <w:jc w:val="center"/>
            </w:pPr>
            <w:r>
              <w:t>2</w:t>
            </w:r>
          </w:p>
        </w:tc>
        <w:tc>
          <w:tcPr>
            <w:tcW w:w="745" w:type="dxa"/>
            <w:tcBorders>
              <w:left w:val="single" w:sz="2" w:space="0" w:color="808080" w:themeColor="background1" w:themeShade="80"/>
              <w:right w:val="single" w:sz="2" w:space="0" w:color="808080" w:themeColor="background1" w:themeShade="80"/>
            </w:tcBorders>
            <w:hideMark/>
          </w:tcPr>
          <w:p w:rsidR="00355749" w:rsidRDefault="00355749" w:rsidP="00DD14CB">
            <w:pPr>
              <w:pStyle w:val="NormalWeb"/>
              <w:jc w:val="center"/>
            </w:pPr>
            <w:r>
              <w:t>1.9</w:t>
            </w:r>
          </w:p>
        </w:tc>
        <w:tc>
          <w:tcPr>
            <w:tcW w:w="746" w:type="dxa"/>
            <w:tcBorders>
              <w:left w:val="single" w:sz="2" w:space="0" w:color="808080" w:themeColor="background1" w:themeShade="80"/>
              <w:right w:val="single" w:sz="2" w:space="0" w:color="808080" w:themeColor="background1" w:themeShade="80"/>
            </w:tcBorders>
            <w:hideMark/>
          </w:tcPr>
          <w:p w:rsidR="00355749" w:rsidRDefault="00355749" w:rsidP="00DD14CB">
            <w:pPr>
              <w:pStyle w:val="NormalWeb"/>
              <w:jc w:val="center"/>
            </w:pPr>
            <w:r>
              <w:t>3</w:t>
            </w:r>
          </w:p>
        </w:tc>
        <w:tc>
          <w:tcPr>
            <w:tcW w:w="745" w:type="dxa"/>
            <w:tcBorders>
              <w:left w:val="single" w:sz="2" w:space="0" w:color="808080" w:themeColor="background1" w:themeShade="80"/>
              <w:right w:val="single" w:sz="2" w:space="0" w:color="808080" w:themeColor="background1" w:themeShade="80"/>
            </w:tcBorders>
            <w:hideMark/>
          </w:tcPr>
          <w:p w:rsidR="00355749" w:rsidRDefault="00355749" w:rsidP="00DD14CB">
            <w:pPr>
              <w:pStyle w:val="NormalWeb"/>
              <w:jc w:val="center"/>
            </w:pPr>
            <w:r>
              <w:t>3.0</w:t>
            </w:r>
          </w:p>
        </w:tc>
        <w:tc>
          <w:tcPr>
            <w:tcW w:w="745" w:type="dxa"/>
            <w:tcBorders>
              <w:left w:val="single" w:sz="2" w:space="0" w:color="808080" w:themeColor="background1" w:themeShade="80"/>
              <w:right w:val="single" w:sz="2" w:space="0" w:color="808080" w:themeColor="background1" w:themeShade="80"/>
            </w:tcBorders>
            <w:hideMark/>
          </w:tcPr>
          <w:p w:rsidR="00355749" w:rsidRDefault="00355749" w:rsidP="00DD14CB">
            <w:pPr>
              <w:pStyle w:val="NormalWeb"/>
              <w:jc w:val="center"/>
            </w:pPr>
            <w:r>
              <w:t>0</w:t>
            </w:r>
          </w:p>
        </w:tc>
        <w:tc>
          <w:tcPr>
            <w:tcW w:w="745" w:type="dxa"/>
            <w:tcBorders>
              <w:left w:val="single" w:sz="2" w:space="0" w:color="808080" w:themeColor="background1" w:themeShade="80"/>
              <w:right w:val="single" w:sz="2" w:space="0" w:color="808080" w:themeColor="background1" w:themeShade="80"/>
            </w:tcBorders>
            <w:hideMark/>
          </w:tcPr>
          <w:p w:rsidR="00355749" w:rsidRDefault="00355749" w:rsidP="00DD14CB">
            <w:pPr>
              <w:pStyle w:val="NormalWeb"/>
              <w:jc w:val="center"/>
            </w:pPr>
            <w:r>
              <w:t>0</w:t>
            </w:r>
          </w:p>
        </w:tc>
        <w:tc>
          <w:tcPr>
            <w:tcW w:w="745" w:type="dxa"/>
            <w:tcBorders>
              <w:left w:val="single" w:sz="2" w:space="0" w:color="808080" w:themeColor="background1" w:themeShade="80"/>
              <w:right w:val="single" w:sz="2" w:space="0" w:color="808080" w:themeColor="background1" w:themeShade="80"/>
            </w:tcBorders>
            <w:hideMark/>
          </w:tcPr>
          <w:p w:rsidR="00355749" w:rsidRDefault="00355749" w:rsidP="00DD14CB">
            <w:pPr>
              <w:pStyle w:val="NormalWeb"/>
              <w:jc w:val="center"/>
            </w:pPr>
            <w:r>
              <w:t>0</w:t>
            </w:r>
          </w:p>
        </w:tc>
        <w:tc>
          <w:tcPr>
            <w:tcW w:w="746" w:type="dxa"/>
            <w:tcBorders>
              <w:left w:val="single" w:sz="2" w:space="0" w:color="808080" w:themeColor="background1" w:themeShade="80"/>
              <w:right w:val="single" w:sz="2" w:space="0" w:color="808080" w:themeColor="background1" w:themeShade="80"/>
            </w:tcBorders>
            <w:hideMark/>
          </w:tcPr>
          <w:p w:rsidR="00355749" w:rsidRDefault="00355749" w:rsidP="00DD14CB">
            <w:pPr>
              <w:pStyle w:val="NormalWeb"/>
              <w:jc w:val="center"/>
            </w:pPr>
            <w:r>
              <w:t>0</w:t>
            </w:r>
          </w:p>
        </w:tc>
        <w:tc>
          <w:tcPr>
            <w:tcW w:w="745" w:type="dxa"/>
            <w:tcBorders>
              <w:left w:val="single" w:sz="2" w:space="0" w:color="808080" w:themeColor="background1" w:themeShade="80"/>
              <w:right w:val="single" w:sz="2" w:space="0" w:color="808080" w:themeColor="background1" w:themeShade="80"/>
            </w:tcBorders>
            <w:hideMark/>
          </w:tcPr>
          <w:p w:rsidR="00355749" w:rsidRDefault="00355749" w:rsidP="00DD14CB">
            <w:pPr>
              <w:pStyle w:val="NormalWeb"/>
              <w:jc w:val="center"/>
            </w:pPr>
            <w:r>
              <w:t>0</w:t>
            </w:r>
          </w:p>
        </w:tc>
        <w:tc>
          <w:tcPr>
            <w:tcW w:w="745" w:type="dxa"/>
            <w:tcBorders>
              <w:left w:val="single" w:sz="2" w:space="0" w:color="808080" w:themeColor="background1" w:themeShade="80"/>
              <w:right w:val="single" w:sz="2" w:space="0" w:color="808080" w:themeColor="background1" w:themeShade="80"/>
            </w:tcBorders>
            <w:hideMark/>
          </w:tcPr>
          <w:p w:rsidR="00355749" w:rsidRDefault="00355749" w:rsidP="00DD14CB">
            <w:pPr>
              <w:pStyle w:val="NormalWeb"/>
              <w:jc w:val="center"/>
            </w:pPr>
            <w:r>
              <w:t>0</w:t>
            </w:r>
          </w:p>
        </w:tc>
        <w:tc>
          <w:tcPr>
            <w:tcW w:w="745" w:type="dxa"/>
            <w:tcBorders>
              <w:left w:val="single" w:sz="2" w:space="0" w:color="808080" w:themeColor="background1" w:themeShade="80"/>
              <w:right w:val="single" w:sz="2" w:space="0" w:color="808080" w:themeColor="background1" w:themeShade="80"/>
            </w:tcBorders>
            <w:hideMark/>
          </w:tcPr>
          <w:p w:rsidR="00355749" w:rsidRDefault="00355749" w:rsidP="00DD14CB">
            <w:pPr>
              <w:pStyle w:val="NormalWeb"/>
              <w:jc w:val="center"/>
            </w:pPr>
            <w:r>
              <w:t>0</w:t>
            </w:r>
          </w:p>
        </w:tc>
        <w:tc>
          <w:tcPr>
            <w:tcW w:w="746" w:type="dxa"/>
            <w:tcBorders>
              <w:left w:val="single" w:sz="2" w:space="0" w:color="808080" w:themeColor="background1" w:themeShade="80"/>
            </w:tcBorders>
            <w:hideMark/>
          </w:tcPr>
          <w:p w:rsidR="00355749" w:rsidRDefault="00355749" w:rsidP="00DD14CB">
            <w:pPr>
              <w:pStyle w:val="NormalWeb"/>
              <w:jc w:val="center"/>
            </w:pPr>
            <w:r>
              <w:t>0</w:t>
            </w:r>
          </w:p>
        </w:tc>
      </w:tr>
      <w:tr w:rsidR="00EB18D4" w:rsidTr="00956B34">
        <w:trPr>
          <w:cnfStyle w:val="000000010000" w:firstRow="0" w:lastRow="0" w:firstColumn="0" w:lastColumn="0" w:oddVBand="0" w:evenVBand="0" w:oddHBand="0" w:evenHBand="1" w:firstRowFirstColumn="0" w:firstRowLastColumn="0" w:lastRowFirstColumn="0" w:lastRowLastColumn="0"/>
        </w:trPr>
        <w:tc>
          <w:tcPr>
            <w:tcW w:w="0" w:type="auto"/>
            <w:tcBorders>
              <w:right w:val="single" w:sz="2" w:space="0" w:color="808080" w:themeColor="background1" w:themeShade="80"/>
            </w:tcBorders>
            <w:hideMark/>
          </w:tcPr>
          <w:p w:rsidR="00355749" w:rsidRDefault="00355749">
            <w:pPr>
              <w:pStyle w:val="NormalWeb"/>
            </w:pPr>
            <w:r>
              <w:t>NT Remote</w:t>
            </w:r>
          </w:p>
        </w:tc>
        <w:tc>
          <w:tcPr>
            <w:tcW w:w="745" w:type="dxa"/>
            <w:tcBorders>
              <w:left w:val="single" w:sz="2" w:space="0" w:color="808080" w:themeColor="background1" w:themeShade="80"/>
              <w:right w:val="single" w:sz="2" w:space="0" w:color="808080" w:themeColor="background1" w:themeShade="80"/>
            </w:tcBorders>
            <w:hideMark/>
          </w:tcPr>
          <w:p w:rsidR="00355749" w:rsidRDefault="00355749" w:rsidP="00DD14CB">
            <w:pPr>
              <w:pStyle w:val="NormalWeb"/>
              <w:jc w:val="center"/>
            </w:pPr>
            <w:r>
              <w:t>0</w:t>
            </w:r>
          </w:p>
        </w:tc>
        <w:tc>
          <w:tcPr>
            <w:tcW w:w="745" w:type="dxa"/>
            <w:tcBorders>
              <w:left w:val="single" w:sz="2" w:space="0" w:color="808080" w:themeColor="background1" w:themeShade="80"/>
              <w:right w:val="single" w:sz="2" w:space="0" w:color="808080" w:themeColor="background1" w:themeShade="80"/>
            </w:tcBorders>
            <w:hideMark/>
          </w:tcPr>
          <w:p w:rsidR="00355749" w:rsidRDefault="00355749" w:rsidP="00DD14CB">
            <w:pPr>
              <w:pStyle w:val="NormalWeb"/>
              <w:jc w:val="center"/>
            </w:pPr>
            <w:r>
              <w:t>0</w:t>
            </w:r>
          </w:p>
        </w:tc>
        <w:tc>
          <w:tcPr>
            <w:tcW w:w="745" w:type="dxa"/>
            <w:tcBorders>
              <w:left w:val="single" w:sz="2" w:space="0" w:color="808080" w:themeColor="background1" w:themeShade="80"/>
              <w:right w:val="single" w:sz="2" w:space="0" w:color="808080" w:themeColor="background1" w:themeShade="80"/>
            </w:tcBorders>
            <w:hideMark/>
          </w:tcPr>
          <w:p w:rsidR="00355749" w:rsidRDefault="00355749" w:rsidP="00DD14CB">
            <w:pPr>
              <w:pStyle w:val="NormalWeb"/>
              <w:jc w:val="center"/>
            </w:pPr>
            <w:r>
              <w:t>0</w:t>
            </w:r>
          </w:p>
        </w:tc>
        <w:tc>
          <w:tcPr>
            <w:tcW w:w="745" w:type="dxa"/>
            <w:tcBorders>
              <w:left w:val="single" w:sz="2" w:space="0" w:color="808080" w:themeColor="background1" w:themeShade="80"/>
              <w:right w:val="single" w:sz="2" w:space="0" w:color="808080" w:themeColor="background1" w:themeShade="80"/>
            </w:tcBorders>
            <w:hideMark/>
          </w:tcPr>
          <w:p w:rsidR="00355749" w:rsidRDefault="00355749" w:rsidP="00DD14CB">
            <w:pPr>
              <w:pStyle w:val="NormalWeb"/>
              <w:jc w:val="center"/>
            </w:pPr>
            <w:r>
              <w:t>0</w:t>
            </w:r>
          </w:p>
        </w:tc>
        <w:tc>
          <w:tcPr>
            <w:tcW w:w="746" w:type="dxa"/>
            <w:tcBorders>
              <w:left w:val="single" w:sz="2" w:space="0" w:color="808080" w:themeColor="background1" w:themeShade="80"/>
              <w:right w:val="single" w:sz="2" w:space="0" w:color="808080" w:themeColor="background1" w:themeShade="80"/>
            </w:tcBorders>
            <w:hideMark/>
          </w:tcPr>
          <w:p w:rsidR="00355749" w:rsidRDefault="00355749" w:rsidP="00DD14CB">
            <w:pPr>
              <w:pStyle w:val="NormalWeb"/>
              <w:jc w:val="center"/>
            </w:pPr>
            <w:r>
              <w:t>0</w:t>
            </w:r>
          </w:p>
        </w:tc>
        <w:tc>
          <w:tcPr>
            <w:tcW w:w="745" w:type="dxa"/>
            <w:tcBorders>
              <w:left w:val="single" w:sz="2" w:space="0" w:color="808080" w:themeColor="background1" w:themeShade="80"/>
              <w:right w:val="single" w:sz="2" w:space="0" w:color="808080" w:themeColor="background1" w:themeShade="80"/>
            </w:tcBorders>
            <w:hideMark/>
          </w:tcPr>
          <w:p w:rsidR="00355749" w:rsidRDefault="00355749" w:rsidP="00DD14CB">
            <w:pPr>
              <w:pStyle w:val="NormalWeb"/>
              <w:jc w:val="center"/>
            </w:pPr>
            <w:r>
              <w:t>0</w:t>
            </w:r>
          </w:p>
        </w:tc>
        <w:tc>
          <w:tcPr>
            <w:tcW w:w="745" w:type="dxa"/>
            <w:tcBorders>
              <w:left w:val="single" w:sz="2" w:space="0" w:color="808080" w:themeColor="background1" w:themeShade="80"/>
              <w:right w:val="single" w:sz="2" w:space="0" w:color="808080" w:themeColor="background1" w:themeShade="80"/>
            </w:tcBorders>
            <w:hideMark/>
          </w:tcPr>
          <w:p w:rsidR="00355749" w:rsidRDefault="00355749" w:rsidP="00DD14CB">
            <w:pPr>
              <w:pStyle w:val="NormalWeb"/>
              <w:jc w:val="center"/>
            </w:pPr>
            <w:r>
              <w:t>2</w:t>
            </w:r>
          </w:p>
        </w:tc>
        <w:tc>
          <w:tcPr>
            <w:tcW w:w="745" w:type="dxa"/>
            <w:tcBorders>
              <w:left w:val="single" w:sz="2" w:space="0" w:color="808080" w:themeColor="background1" w:themeShade="80"/>
              <w:right w:val="single" w:sz="2" w:space="0" w:color="808080" w:themeColor="background1" w:themeShade="80"/>
            </w:tcBorders>
            <w:hideMark/>
          </w:tcPr>
          <w:p w:rsidR="00355749" w:rsidRDefault="00355749" w:rsidP="00DD14CB">
            <w:pPr>
              <w:pStyle w:val="NormalWeb"/>
              <w:jc w:val="center"/>
            </w:pPr>
            <w:r>
              <w:t>0.8</w:t>
            </w:r>
          </w:p>
        </w:tc>
        <w:tc>
          <w:tcPr>
            <w:tcW w:w="746" w:type="dxa"/>
            <w:tcBorders>
              <w:left w:val="single" w:sz="2" w:space="0" w:color="808080" w:themeColor="background1" w:themeShade="80"/>
              <w:right w:val="single" w:sz="2" w:space="0" w:color="808080" w:themeColor="background1" w:themeShade="80"/>
            </w:tcBorders>
            <w:hideMark/>
          </w:tcPr>
          <w:p w:rsidR="00355749" w:rsidRDefault="00355749" w:rsidP="00DD14CB">
            <w:pPr>
              <w:pStyle w:val="NormalWeb"/>
              <w:jc w:val="center"/>
            </w:pPr>
            <w:r>
              <w:t>1</w:t>
            </w:r>
          </w:p>
        </w:tc>
        <w:tc>
          <w:tcPr>
            <w:tcW w:w="745" w:type="dxa"/>
            <w:tcBorders>
              <w:left w:val="single" w:sz="2" w:space="0" w:color="808080" w:themeColor="background1" w:themeShade="80"/>
              <w:right w:val="single" w:sz="2" w:space="0" w:color="808080" w:themeColor="background1" w:themeShade="80"/>
            </w:tcBorders>
            <w:hideMark/>
          </w:tcPr>
          <w:p w:rsidR="00355749" w:rsidRDefault="00355749" w:rsidP="00DD14CB">
            <w:pPr>
              <w:pStyle w:val="NormalWeb"/>
              <w:jc w:val="center"/>
            </w:pPr>
            <w:r>
              <w:t>0.8</w:t>
            </w:r>
          </w:p>
        </w:tc>
        <w:tc>
          <w:tcPr>
            <w:tcW w:w="745" w:type="dxa"/>
            <w:tcBorders>
              <w:left w:val="single" w:sz="2" w:space="0" w:color="808080" w:themeColor="background1" w:themeShade="80"/>
              <w:right w:val="single" w:sz="2" w:space="0" w:color="808080" w:themeColor="background1" w:themeShade="80"/>
            </w:tcBorders>
            <w:hideMark/>
          </w:tcPr>
          <w:p w:rsidR="00355749" w:rsidRDefault="00355749" w:rsidP="00DD14CB">
            <w:pPr>
              <w:pStyle w:val="NormalWeb"/>
              <w:jc w:val="center"/>
            </w:pPr>
            <w:r>
              <w:t>0</w:t>
            </w:r>
          </w:p>
        </w:tc>
        <w:tc>
          <w:tcPr>
            <w:tcW w:w="745" w:type="dxa"/>
            <w:tcBorders>
              <w:left w:val="single" w:sz="2" w:space="0" w:color="808080" w:themeColor="background1" w:themeShade="80"/>
              <w:right w:val="single" w:sz="2" w:space="0" w:color="808080" w:themeColor="background1" w:themeShade="80"/>
            </w:tcBorders>
            <w:hideMark/>
          </w:tcPr>
          <w:p w:rsidR="00355749" w:rsidRDefault="00355749" w:rsidP="00DD14CB">
            <w:pPr>
              <w:pStyle w:val="NormalWeb"/>
              <w:jc w:val="center"/>
            </w:pPr>
            <w:r>
              <w:t>0</w:t>
            </w:r>
          </w:p>
        </w:tc>
        <w:tc>
          <w:tcPr>
            <w:tcW w:w="745" w:type="dxa"/>
            <w:tcBorders>
              <w:left w:val="single" w:sz="2" w:space="0" w:color="808080" w:themeColor="background1" w:themeShade="80"/>
              <w:right w:val="single" w:sz="2" w:space="0" w:color="808080" w:themeColor="background1" w:themeShade="80"/>
            </w:tcBorders>
            <w:hideMark/>
          </w:tcPr>
          <w:p w:rsidR="00355749" w:rsidRDefault="00355749" w:rsidP="00DD14CB">
            <w:pPr>
              <w:pStyle w:val="NormalWeb"/>
              <w:jc w:val="center"/>
            </w:pPr>
            <w:r>
              <w:t>0</w:t>
            </w:r>
          </w:p>
        </w:tc>
        <w:tc>
          <w:tcPr>
            <w:tcW w:w="746" w:type="dxa"/>
            <w:tcBorders>
              <w:left w:val="single" w:sz="2" w:space="0" w:color="808080" w:themeColor="background1" w:themeShade="80"/>
              <w:right w:val="single" w:sz="2" w:space="0" w:color="808080" w:themeColor="background1" w:themeShade="80"/>
            </w:tcBorders>
            <w:hideMark/>
          </w:tcPr>
          <w:p w:rsidR="00355749" w:rsidRDefault="00355749" w:rsidP="00DD14CB">
            <w:pPr>
              <w:pStyle w:val="NormalWeb"/>
              <w:jc w:val="center"/>
            </w:pPr>
            <w:r>
              <w:t>0</w:t>
            </w:r>
          </w:p>
        </w:tc>
        <w:tc>
          <w:tcPr>
            <w:tcW w:w="745" w:type="dxa"/>
            <w:tcBorders>
              <w:left w:val="single" w:sz="2" w:space="0" w:color="808080" w:themeColor="background1" w:themeShade="80"/>
              <w:right w:val="single" w:sz="2" w:space="0" w:color="808080" w:themeColor="background1" w:themeShade="80"/>
            </w:tcBorders>
            <w:hideMark/>
          </w:tcPr>
          <w:p w:rsidR="00355749" w:rsidRDefault="00355749" w:rsidP="00DD14CB">
            <w:pPr>
              <w:pStyle w:val="NormalWeb"/>
              <w:jc w:val="center"/>
            </w:pPr>
            <w:r>
              <w:t>0</w:t>
            </w:r>
          </w:p>
        </w:tc>
        <w:tc>
          <w:tcPr>
            <w:tcW w:w="745" w:type="dxa"/>
            <w:tcBorders>
              <w:left w:val="single" w:sz="2" w:space="0" w:color="808080" w:themeColor="background1" w:themeShade="80"/>
              <w:right w:val="single" w:sz="2" w:space="0" w:color="808080" w:themeColor="background1" w:themeShade="80"/>
            </w:tcBorders>
            <w:hideMark/>
          </w:tcPr>
          <w:p w:rsidR="00355749" w:rsidRDefault="00355749" w:rsidP="00DD14CB">
            <w:pPr>
              <w:pStyle w:val="NormalWeb"/>
              <w:jc w:val="center"/>
            </w:pPr>
            <w:r>
              <w:t>0</w:t>
            </w:r>
          </w:p>
        </w:tc>
        <w:tc>
          <w:tcPr>
            <w:tcW w:w="745" w:type="dxa"/>
            <w:tcBorders>
              <w:left w:val="single" w:sz="2" w:space="0" w:color="808080" w:themeColor="background1" w:themeShade="80"/>
              <w:right w:val="single" w:sz="2" w:space="0" w:color="808080" w:themeColor="background1" w:themeShade="80"/>
            </w:tcBorders>
            <w:hideMark/>
          </w:tcPr>
          <w:p w:rsidR="00355749" w:rsidRDefault="00355749" w:rsidP="00DD14CB">
            <w:pPr>
              <w:pStyle w:val="NormalWeb"/>
              <w:jc w:val="center"/>
            </w:pPr>
            <w:r>
              <w:t>0</w:t>
            </w:r>
          </w:p>
        </w:tc>
        <w:tc>
          <w:tcPr>
            <w:tcW w:w="746" w:type="dxa"/>
            <w:tcBorders>
              <w:left w:val="single" w:sz="2" w:space="0" w:color="808080" w:themeColor="background1" w:themeShade="80"/>
            </w:tcBorders>
            <w:hideMark/>
          </w:tcPr>
          <w:p w:rsidR="00355749" w:rsidRDefault="00355749" w:rsidP="00DD14CB">
            <w:pPr>
              <w:pStyle w:val="NormalWeb"/>
              <w:jc w:val="center"/>
            </w:pPr>
            <w:r>
              <w:t>0</w:t>
            </w:r>
          </w:p>
        </w:tc>
      </w:tr>
      <w:tr w:rsidR="00FC33AF" w:rsidTr="00956B34">
        <w:tc>
          <w:tcPr>
            <w:tcW w:w="0" w:type="auto"/>
            <w:tcBorders>
              <w:right w:val="single" w:sz="2" w:space="0" w:color="808080" w:themeColor="background1" w:themeShade="80"/>
            </w:tcBorders>
            <w:hideMark/>
          </w:tcPr>
          <w:p w:rsidR="00355749" w:rsidRDefault="00355749">
            <w:pPr>
              <w:pStyle w:val="NormalWeb"/>
            </w:pPr>
            <w:r>
              <w:t>WA</w:t>
            </w:r>
          </w:p>
        </w:tc>
        <w:tc>
          <w:tcPr>
            <w:tcW w:w="745" w:type="dxa"/>
            <w:tcBorders>
              <w:left w:val="single" w:sz="2" w:space="0" w:color="808080" w:themeColor="background1" w:themeShade="80"/>
              <w:right w:val="single" w:sz="2" w:space="0" w:color="808080" w:themeColor="background1" w:themeShade="80"/>
            </w:tcBorders>
            <w:hideMark/>
          </w:tcPr>
          <w:p w:rsidR="00355749" w:rsidRDefault="00355749" w:rsidP="00DD14CB">
            <w:pPr>
              <w:pStyle w:val="NormalWeb"/>
              <w:jc w:val="center"/>
            </w:pPr>
            <w:r>
              <w:t>17</w:t>
            </w:r>
          </w:p>
        </w:tc>
        <w:tc>
          <w:tcPr>
            <w:tcW w:w="745" w:type="dxa"/>
            <w:tcBorders>
              <w:left w:val="single" w:sz="2" w:space="0" w:color="808080" w:themeColor="background1" w:themeShade="80"/>
              <w:right w:val="single" w:sz="2" w:space="0" w:color="808080" w:themeColor="background1" w:themeShade="80"/>
            </w:tcBorders>
            <w:hideMark/>
          </w:tcPr>
          <w:p w:rsidR="00355749" w:rsidRDefault="00355749" w:rsidP="00DD14CB">
            <w:pPr>
              <w:pStyle w:val="NormalWeb"/>
              <w:jc w:val="center"/>
            </w:pPr>
            <w:r>
              <w:t>5.2</w:t>
            </w:r>
          </w:p>
        </w:tc>
        <w:tc>
          <w:tcPr>
            <w:tcW w:w="745" w:type="dxa"/>
            <w:tcBorders>
              <w:left w:val="single" w:sz="2" w:space="0" w:color="808080" w:themeColor="background1" w:themeShade="80"/>
              <w:right w:val="single" w:sz="2" w:space="0" w:color="808080" w:themeColor="background1" w:themeShade="80"/>
            </w:tcBorders>
            <w:hideMark/>
          </w:tcPr>
          <w:p w:rsidR="00355749" w:rsidRDefault="00355749" w:rsidP="00DD14CB">
            <w:pPr>
              <w:pStyle w:val="NormalWeb"/>
              <w:jc w:val="center"/>
            </w:pPr>
            <w:r>
              <w:t>3</w:t>
            </w:r>
          </w:p>
        </w:tc>
        <w:tc>
          <w:tcPr>
            <w:tcW w:w="745" w:type="dxa"/>
            <w:tcBorders>
              <w:left w:val="single" w:sz="2" w:space="0" w:color="808080" w:themeColor="background1" w:themeShade="80"/>
              <w:right w:val="single" w:sz="2" w:space="0" w:color="808080" w:themeColor="background1" w:themeShade="80"/>
            </w:tcBorders>
            <w:hideMark/>
          </w:tcPr>
          <w:p w:rsidR="00355749" w:rsidRDefault="00355749" w:rsidP="00DD14CB">
            <w:pPr>
              <w:pStyle w:val="NormalWeb"/>
              <w:jc w:val="center"/>
            </w:pPr>
            <w:r>
              <w:t>0.7</w:t>
            </w:r>
          </w:p>
        </w:tc>
        <w:tc>
          <w:tcPr>
            <w:tcW w:w="746" w:type="dxa"/>
            <w:tcBorders>
              <w:left w:val="single" w:sz="2" w:space="0" w:color="808080" w:themeColor="background1" w:themeShade="80"/>
              <w:right w:val="single" w:sz="2" w:space="0" w:color="808080" w:themeColor="background1" w:themeShade="80"/>
            </w:tcBorders>
            <w:hideMark/>
          </w:tcPr>
          <w:p w:rsidR="00355749" w:rsidRDefault="00355749" w:rsidP="00DD14CB">
            <w:pPr>
              <w:pStyle w:val="NormalWeb"/>
              <w:jc w:val="center"/>
            </w:pPr>
            <w:r>
              <w:t>6</w:t>
            </w:r>
          </w:p>
        </w:tc>
        <w:tc>
          <w:tcPr>
            <w:tcW w:w="745" w:type="dxa"/>
            <w:tcBorders>
              <w:left w:val="single" w:sz="2" w:space="0" w:color="808080" w:themeColor="background1" w:themeShade="80"/>
              <w:right w:val="single" w:sz="2" w:space="0" w:color="808080" w:themeColor="background1" w:themeShade="80"/>
            </w:tcBorders>
            <w:hideMark/>
          </w:tcPr>
          <w:p w:rsidR="00355749" w:rsidRDefault="00355749" w:rsidP="00DD14CB">
            <w:pPr>
              <w:pStyle w:val="NormalWeb"/>
              <w:jc w:val="center"/>
            </w:pPr>
            <w:r>
              <w:t>1.2</w:t>
            </w:r>
          </w:p>
        </w:tc>
        <w:tc>
          <w:tcPr>
            <w:tcW w:w="745" w:type="dxa"/>
            <w:tcBorders>
              <w:left w:val="single" w:sz="2" w:space="0" w:color="808080" w:themeColor="background1" w:themeShade="80"/>
              <w:right w:val="single" w:sz="2" w:space="0" w:color="808080" w:themeColor="background1" w:themeShade="80"/>
            </w:tcBorders>
            <w:hideMark/>
          </w:tcPr>
          <w:p w:rsidR="00355749" w:rsidRDefault="00355749" w:rsidP="00DD14CB">
            <w:pPr>
              <w:pStyle w:val="NormalWeb"/>
              <w:jc w:val="center"/>
            </w:pPr>
            <w:r>
              <w:t>13</w:t>
            </w:r>
          </w:p>
        </w:tc>
        <w:tc>
          <w:tcPr>
            <w:tcW w:w="745" w:type="dxa"/>
            <w:tcBorders>
              <w:left w:val="single" w:sz="2" w:space="0" w:color="808080" w:themeColor="background1" w:themeShade="80"/>
              <w:right w:val="single" w:sz="2" w:space="0" w:color="808080" w:themeColor="background1" w:themeShade="80"/>
            </w:tcBorders>
            <w:hideMark/>
          </w:tcPr>
          <w:p w:rsidR="00355749" w:rsidRDefault="00355749" w:rsidP="00DD14CB">
            <w:pPr>
              <w:pStyle w:val="NormalWeb"/>
              <w:jc w:val="center"/>
            </w:pPr>
            <w:r>
              <w:t>2.7</w:t>
            </w:r>
          </w:p>
        </w:tc>
        <w:tc>
          <w:tcPr>
            <w:tcW w:w="746" w:type="dxa"/>
            <w:tcBorders>
              <w:left w:val="single" w:sz="2" w:space="0" w:color="808080" w:themeColor="background1" w:themeShade="80"/>
              <w:right w:val="single" w:sz="2" w:space="0" w:color="808080" w:themeColor="background1" w:themeShade="80"/>
            </w:tcBorders>
            <w:hideMark/>
          </w:tcPr>
          <w:p w:rsidR="00355749" w:rsidRDefault="00355749" w:rsidP="00DD14CB">
            <w:pPr>
              <w:jc w:val="center"/>
            </w:pPr>
          </w:p>
        </w:tc>
        <w:tc>
          <w:tcPr>
            <w:tcW w:w="745" w:type="dxa"/>
            <w:tcBorders>
              <w:left w:val="single" w:sz="2" w:space="0" w:color="808080" w:themeColor="background1" w:themeShade="80"/>
              <w:right w:val="single" w:sz="2" w:space="0" w:color="808080" w:themeColor="background1" w:themeShade="80"/>
            </w:tcBorders>
            <w:hideMark/>
          </w:tcPr>
          <w:p w:rsidR="00355749" w:rsidRDefault="00355749" w:rsidP="00DD14CB">
            <w:pPr>
              <w:jc w:val="center"/>
              <w:rPr>
                <w:rFonts w:eastAsia="Times New Roman"/>
                <w:sz w:val="20"/>
                <w:szCs w:val="20"/>
              </w:rPr>
            </w:pPr>
          </w:p>
        </w:tc>
        <w:tc>
          <w:tcPr>
            <w:tcW w:w="745" w:type="dxa"/>
            <w:tcBorders>
              <w:left w:val="single" w:sz="2" w:space="0" w:color="808080" w:themeColor="background1" w:themeShade="80"/>
              <w:right w:val="single" w:sz="2" w:space="0" w:color="808080" w:themeColor="background1" w:themeShade="80"/>
            </w:tcBorders>
            <w:hideMark/>
          </w:tcPr>
          <w:p w:rsidR="00355749" w:rsidRDefault="00355749" w:rsidP="00DD14CB">
            <w:pPr>
              <w:jc w:val="center"/>
              <w:rPr>
                <w:rFonts w:eastAsia="Times New Roman"/>
                <w:sz w:val="20"/>
                <w:szCs w:val="20"/>
              </w:rPr>
            </w:pPr>
          </w:p>
        </w:tc>
        <w:tc>
          <w:tcPr>
            <w:tcW w:w="745" w:type="dxa"/>
            <w:tcBorders>
              <w:left w:val="single" w:sz="2" w:space="0" w:color="808080" w:themeColor="background1" w:themeShade="80"/>
              <w:right w:val="single" w:sz="2" w:space="0" w:color="808080" w:themeColor="background1" w:themeShade="80"/>
            </w:tcBorders>
            <w:hideMark/>
          </w:tcPr>
          <w:p w:rsidR="00355749" w:rsidRDefault="00355749" w:rsidP="00DD14CB">
            <w:pPr>
              <w:jc w:val="center"/>
              <w:rPr>
                <w:rFonts w:eastAsia="Times New Roman"/>
                <w:sz w:val="20"/>
                <w:szCs w:val="20"/>
              </w:rPr>
            </w:pPr>
          </w:p>
        </w:tc>
        <w:tc>
          <w:tcPr>
            <w:tcW w:w="745" w:type="dxa"/>
            <w:tcBorders>
              <w:left w:val="single" w:sz="2" w:space="0" w:color="808080" w:themeColor="background1" w:themeShade="80"/>
              <w:right w:val="single" w:sz="2" w:space="0" w:color="808080" w:themeColor="background1" w:themeShade="80"/>
            </w:tcBorders>
            <w:hideMark/>
          </w:tcPr>
          <w:p w:rsidR="00355749" w:rsidRDefault="00355749" w:rsidP="00DD14CB">
            <w:pPr>
              <w:jc w:val="center"/>
              <w:rPr>
                <w:rFonts w:eastAsia="Times New Roman"/>
                <w:sz w:val="20"/>
                <w:szCs w:val="20"/>
              </w:rPr>
            </w:pPr>
          </w:p>
        </w:tc>
        <w:tc>
          <w:tcPr>
            <w:tcW w:w="746" w:type="dxa"/>
            <w:tcBorders>
              <w:left w:val="single" w:sz="2" w:space="0" w:color="808080" w:themeColor="background1" w:themeShade="80"/>
              <w:right w:val="single" w:sz="2" w:space="0" w:color="808080" w:themeColor="background1" w:themeShade="80"/>
            </w:tcBorders>
            <w:hideMark/>
          </w:tcPr>
          <w:p w:rsidR="00355749" w:rsidRDefault="00355749" w:rsidP="00DD14CB">
            <w:pPr>
              <w:jc w:val="center"/>
              <w:rPr>
                <w:rFonts w:eastAsia="Times New Roman"/>
                <w:sz w:val="20"/>
                <w:szCs w:val="20"/>
              </w:rPr>
            </w:pPr>
          </w:p>
        </w:tc>
        <w:tc>
          <w:tcPr>
            <w:tcW w:w="745" w:type="dxa"/>
            <w:tcBorders>
              <w:left w:val="single" w:sz="2" w:space="0" w:color="808080" w:themeColor="background1" w:themeShade="80"/>
              <w:right w:val="single" w:sz="2" w:space="0" w:color="808080" w:themeColor="background1" w:themeShade="80"/>
            </w:tcBorders>
            <w:hideMark/>
          </w:tcPr>
          <w:p w:rsidR="00355749" w:rsidRDefault="00355749" w:rsidP="00DD14CB">
            <w:pPr>
              <w:jc w:val="center"/>
              <w:rPr>
                <w:rFonts w:eastAsia="Times New Roman"/>
                <w:sz w:val="20"/>
                <w:szCs w:val="20"/>
              </w:rPr>
            </w:pPr>
          </w:p>
        </w:tc>
        <w:tc>
          <w:tcPr>
            <w:tcW w:w="745" w:type="dxa"/>
            <w:tcBorders>
              <w:left w:val="single" w:sz="2" w:space="0" w:color="808080" w:themeColor="background1" w:themeShade="80"/>
              <w:right w:val="single" w:sz="2" w:space="0" w:color="808080" w:themeColor="background1" w:themeShade="80"/>
            </w:tcBorders>
            <w:hideMark/>
          </w:tcPr>
          <w:p w:rsidR="00355749" w:rsidRDefault="00355749" w:rsidP="00DD14CB">
            <w:pPr>
              <w:jc w:val="center"/>
              <w:rPr>
                <w:rFonts w:eastAsia="Times New Roman"/>
                <w:sz w:val="20"/>
                <w:szCs w:val="20"/>
              </w:rPr>
            </w:pPr>
          </w:p>
        </w:tc>
        <w:tc>
          <w:tcPr>
            <w:tcW w:w="745" w:type="dxa"/>
            <w:tcBorders>
              <w:left w:val="single" w:sz="2" w:space="0" w:color="808080" w:themeColor="background1" w:themeShade="80"/>
              <w:right w:val="single" w:sz="2" w:space="0" w:color="808080" w:themeColor="background1" w:themeShade="80"/>
            </w:tcBorders>
            <w:hideMark/>
          </w:tcPr>
          <w:p w:rsidR="00355749" w:rsidRDefault="00355749" w:rsidP="00DD14CB">
            <w:pPr>
              <w:jc w:val="center"/>
              <w:rPr>
                <w:rFonts w:eastAsia="Times New Roman"/>
                <w:sz w:val="20"/>
                <w:szCs w:val="20"/>
              </w:rPr>
            </w:pPr>
          </w:p>
        </w:tc>
        <w:tc>
          <w:tcPr>
            <w:tcW w:w="746" w:type="dxa"/>
            <w:tcBorders>
              <w:left w:val="single" w:sz="2" w:space="0" w:color="808080" w:themeColor="background1" w:themeShade="80"/>
            </w:tcBorders>
            <w:hideMark/>
          </w:tcPr>
          <w:p w:rsidR="00355749" w:rsidRDefault="00355749" w:rsidP="00DD14CB">
            <w:pPr>
              <w:jc w:val="center"/>
              <w:rPr>
                <w:rFonts w:eastAsia="Times New Roman"/>
                <w:sz w:val="20"/>
                <w:szCs w:val="20"/>
              </w:rPr>
            </w:pPr>
          </w:p>
        </w:tc>
      </w:tr>
      <w:tr w:rsidR="00EB18D4" w:rsidTr="00956B34">
        <w:trPr>
          <w:cnfStyle w:val="000000010000" w:firstRow="0" w:lastRow="0" w:firstColumn="0" w:lastColumn="0" w:oddVBand="0" w:evenVBand="0" w:oddHBand="0" w:evenHBand="1" w:firstRowFirstColumn="0" w:firstRowLastColumn="0" w:lastRowFirstColumn="0" w:lastRowLastColumn="0"/>
        </w:trPr>
        <w:tc>
          <w:tcPr>
            <w:tcW w:w="0" w:type="auto"/>
            <w:tcBorders>
              <w:right w:val="single" w:sz="2" w:space="0" w:color="808080" w:themeColor="background1" w:themeShade="80"/>
            </w:tcBorders>
            <w:hideMark/>
          </w:tcPr>
          <w:p w:rsidR="00355749" w:rsidRDefault="00355749">
            <w:pPr>
              <w:pStyle w:val="NormalWeb"/>
              <w:rPr>
                <w:sz w:val="24"/>
                <w:szCs w:val="24"/>
              </w:rPr>
            </w:pPr>
            <w:r>
              <w:t>WA Urban/Rural</w:t>
            </w:r>
          </w:p>
        </w:tc>
        <w:tc>
          <w:tcPr>
            <w:tcW w:w="745" w:type="dxa"/>
            <w:tcBorders>
              <w:left w:val="single" w:sz="2" w:space="0" w:color="808080" w:themeColor="background1" w:themeShade="80"/>
              <w:right w:val="single" w:sz="2" w:space="0" w:color="808080" w:themeColor="background1" w:themeShade="80"/>
            </w:tcBorders>
            <w:hideMark/>
          </w:tcPr>
          <w:p w:rsidR="00355749" w:rsidRDefault="00355749" w:rsidP="00DD14CB">
            <w:pPr>
              <w:jc w:val="center"/>
            </w:pPr>
          </w:p>
        </w:tc>
        <w:tc>
          <w:tcPr>
            <w:tcW w:w="745" w:type="dxa"/>
            <w:tcBorders>
              <w:left w:val="single" w:sz="2" w:space="0" w:color="808080" w:themeColor="background1" w:themeShade="80"/>
              <w:right w:val="single" w:sz="2" w:space="0" w:color="808080" w:themeColor="background1" w:themeShade="80"/>
            </w:tcBorders>
            <w:hideMark/>
          </w:tcPr>
          <w:p w:rsidR="00355749" w:rsidRDefault="00355749" w:rsidP="00DD14CB">
            <w:pPr>
              <w:jc w:val="center"/>
              <w:rPr>
                <w:rFonts w:eastAsia="Times New Roman"/>
                <w:sz w:val="20"/>
                <w:szCs w:val="20"/>
              </w:rPr>
            </w:pPr>
          </w:p>
        </w:tc>
        <w:tc>
          <w:tcPr>
            <w:tcW w:w="745" w:type="dxa"/>
            <w:tcBorders>
              <w:left w:val="single" w:sz="2" w:space="0" w:color="808080" w:themeColor="background1" w:themeShade="80"/>
              <w:right w:val="single" w:sz="2" w:space="0" w:color="808080" w:themeColor="background1" w:themeShade="80"/>
            </w:tcBorders>
            <w:hideMark/>
          </w:tcPr>
          <w:p w:rsidR="00355749" w:rsidRDefault="00355749" w:rsidP="00DD14CB">
            <w:pPr>
              <w:jc w:val="center"/>
              <w:rPr>
                <w:rFonts w:eastAsia="Times New Roman"/>
                <w:sz w:val="20"/>
                <w:szCs w:val="20"/>
              </w:rPr>
            </w:pPr>
          </w:p>
        </w:tc>
        <w:tc>
          <w:tcPr>
            <w:tcW w:w="745" w:type="dxa"/>
            <w:tcBorders>
              <w:left w:val="single" w:sz="2" w:space="0" w:color="808080" w:themeColor="background1" w:themeShade="80"/>
              <w:right w:val="single" w:sz="2" w:space="0" w:color="808080" w:themeColor="background1" w:themeShade="80"/>
            </w:tcBorders>
            <w:hideMark/>
          </w:tcPr>
          <w:p w:rsidR="00355749" w:rsidRDefault="00355749" w:rsidP="00DD14CB">
            <w:pPr>
              <w:jc w:val="center"/>
              <w:rPr>
                <w:rFonts w:eastAsia="Times New Roman"/>
                <w:sz w:val="20"/>
                <w:szCs w:val="20"/>
              </w:rPr>
            </w:pPr>
          </w:p>
        </w:tc>
        <w:tc>
          <w:tcPr>
            <w:tcW w:w="746" w:type="dxa"/>
            <w:tcBorders>
              <w:left w:val="single" w:sz="2" w:space="0" w:color="808080" w:themeColor="background1" w:themeShade="80"/>
              <w:right w:val="single" w:sz="2" w:space="0" w:color="808080" w:themeColor="background1" w:themeShade="80"/>
            </w:tcBorders>
            <w:hideMark/>
          </w:tcPr>
          <w:p w:rsidR="00355749" w:rsidRDefault="00355749" w:rsidP="00DD14CB">
            <w:pPr>
              <w:jc w:val="center"/>
              <w:rPr>
                <w:rFonts w:eastAsia="Times New Roman"/>
                <w:sz w:val="20"/>
                <w:szCs w:val="20"/>
              </w:rPr>
            </w:pPr>
          </w:p>
        </w:tc>
        <w:tc>
          <w:tcPr>
            <w:tcW w:w="745" w:type="dxa"/>
            <w:tcBorders>
              <w:left w:val="single" w:sz="2" w:space="0" w:color="808080" w:themeColor="background1" w:themeShade="80"/>
              <w:right w:val="single" w:sz="2" w:space="0" w:color="808080" w:themeColor="background1" w:themeShade="80"/>
            </w:tcBorders>
            <w:hideMark/>
          </w:tcPr>
          <w:p w:rsidR="00355749" w:rsidRDefault="00355749" w:rsidP="00DD14CB">
            <w:pPr>
              <w:jc w:val="center"/>
              <w:rPr>
                <w:rFonts w:eastAsia="Times New Roman"/>
                <w:sz w:val="20"/>
                <w:szCs w:val="20"/>
              </w:rPr>
            </w:pPr>
          </w:p>
        </w:tc>
        <w:tc>
          <w:tcPr>
            <w:tcW w:w="745" w:type="dxa"/>
            <w:tcBorders>
              <w:left w:val="single" w:sz="2" w:space="0" w:color="808080" w:themeColor="background1" w:themeShade="80"/>
              <w:right w:val="single" w:sz="2" w:space="0" w:color="808080" w:themeColor="background1" w:themeShade="80"/>
            </w:tcBorders>
            <w:hideMark/>
          </w:tcPr>
          <w:p w:rsidR="00355749" w:rsidRDefault="00355749" w:rsidP="00DD14CB">
            <w:pPr>
              <w:jc w:val="center"/>
              <w:rPr>
                <w:rFonts w:eastAsia="Times New Roman"/>
                <w:sz w:val="20"/>
                <w:szCs w:val="20"/>
              </w:rPr>
            </w:pPr>
          </w:p>
        </w:tc>
        <w:tc>
          <w:tcPr>
            <w:tcW w:w="745" w:type="dxa"/>
            <w:tcBorders>
              <w:left w:val="single" w:sz="2" w:space="0" w:color="808080" w:themeColor="background1" w:themeShade="80"/>
              <w:right w:val="single" w:sz="2" w:space="0" w:color="808080" w:themeColor="background1" w:themeShade="80"/>
            </w:tcBorders>
            <w:hideMark/>
          </w:tcPr>
          <w:p w:rsidR="00355749" w:rsidRDefault="00355749" w:rsidP="00DD14CB">
            <w:pPr>
              <w:jc w:val="center"/>
              <w:rPr>
                <w:rFonts w:eastAsia="Times New Roman"/>
                <w:sz w:val="20"/>
                <w:szCs w:val="20"/>
              </w:rPr>
            </w:pPr>
          </w:p>
        </w:tc>
        <w:tc>
          <w:tcPr>
            <w:tcW w:w="746" w:type="dxa"/>
            <w:tcBorders>
              <w:left w:val="single" w:sz="2" w:space="0" w:color="808080" w:themeColor="background1" w:themeShade="80"/>
              <w:right w:val="single" w:sz="2" w:space="0" w:color="808080" w:themeColor="background1" w:themeShade="80"/>
            </w:tcBorders>
            <w:hideMark/>
          </w:tcPr>
          <w:p w:rsidR="00355749" w:rsidRDefault="00355749" w:rsidP="00DD14CB">
            <w:pPr>
              <w:pStyle w:val="NormalWeb"/>
              <w:jc w:val="center"/>
              <w:rPr>
                <w:sz w:val="24"/>
                <w:szCs w:val="24"/>
              </w:rPr>
            </w:pPr>
            <w:r>
              <w:t>14</w:t>
            </w:r>
          </w:p>
        </w:tc>
        <w:tc>
          <w:tcPr>
            <w:tcW w:w="745" w:type="dxa"/>
            <w:tcBorders>
              <w:left w:val="single" w:sz="2" w:space="0" w:color="808080" w:themeColor="background1" w:themeShade="80"/>
              <w:right w:val="single" w:sz="2" w:space="0" w:color="808080" w:themeColor="background1" w:themeShade="80"/>
            </w:tcBorders>
            <w:hideMark/>
          </w:tcPr>
          <w:p w:rsidR="00355749" w:rsidRDefault="00355749" w:rsidP="00DD14CB">
            <w:pPr>
              <w:pStyle w:val="NormalWeb"/>
              <w:jc w:val="center"/>
            </w:pPr>
            <w:r>
              <w:t>3.6</w:t>
            </w:r>
          </w:p>
        </w:tc>
        <w:tc>
          <w:tcPr>
            <w:tcW w:w="745" w:type="dxa"/>
            <w:tcBorders>
              <w:left w:val="single" w:sz="2" w:space="0" w:color="808080" w:themeColor="background1" w:themeShade="80"/>
              <w:right w:val="single" w:sz="2" w:space="0" w:color="808080" w:themeColor="background1" w:themeShade="80"/>
            </w:tcBorders>
            <w:hideMark/>
          </w:tcPr>
          <w:p w:rsidR="00355749" w:rsidRDefault="00355749" w:rsidP="00DD14CB">
            <w:pPr>
              <w:pStyle w:val="NormalWeb"/>
              <w:jc w:val="center"/>
            </w:pPr>
            <w:r>
              <w:t>5</w:t>
            </w:r>
          </w:p>
        </w:tc>
        <w:tc>
          <w:tcPr>
            <w:tcW w:w="745" w:type="dxa"/>
            <w:tcBorders>
              <w:left w:val="single" w:sz="2" w:space="0" w:color="808080" w:themeColor="background1" w:themeShade="80"/>
              <w:right w:val="single" w:sz="2" w:space="0" w:color="808080" w:themeColor="background1" w:themeShade="80"/>
            </w:tcBorders>
            <w:hideMark/>
          </w:tcPr>
          <w:p w:rsidR="00355749" w:rsidRDefault="00355749" w:rsidP="00DD14CB">
            <w:pPr>
              <w:pStyle w:val="NormalWeb"/>
              <w:jc w:val="center"/>
            </w:pPr>
            <w:r>
              <w:t>1.3</w:t>
            </w:r>
          </w:p>
        </w:tc>
        <w:tc>
          <w:tcPr>
            <w:tcW w:w="745" w:type="dxa"/>
            <w:tcBorders>
              <w:left w:val="single" w:sz="2" w:space="0" w:color="808080" w:themeColor="background1" w:themeShade="80"/>
              <w:right w:val="single" w:sz="2" w:space="0" w:color="808080" w:themeColor="background1" w:themeShade="80"/>
            </w:tcBorders>
            <w:hideMark/>
          </w:tcPr>
          <w:p w:rsidR="00355749" w:rsidRDefault="00355749" w:rsidP="00DD14CB">
            <w:pPr>
              <w:pStyle w:val="NormalWeb"/>
              <w:jc w:val="center"/>
            </w:pPr>
            <w:r>
              <w:t>9</w:t>
            </w:r>
          </w:p>
        </w:tc>
        <w:tc>
          <w:tcPr>
            <w:tcW w:w="746" w:type="dxa"/>
            <w:tcBorders>
              <w:left w:val="single" w:sz="2" w:space="0" w:color="808080" w:themeColor="background1" w:themeShade="80"/>
              <w:right w:val="single" w:sz="2" w:space="0" w:color="808080" w:themeColor="background1" w:themeShade="80"/>
            </w:tcBorders>
            <w:hideMark/>
          </w:tcPr>
          <w:p w:rsidR="00355749" w:rsidRDefault="00355749" w:rsidP="00DD14CB">
            <w:pPr>
              <w:pStyle w:val="NormalWeb"/>
              <w:jc w:val="center"/>
            </w:pPr>
            <w:r>
              <w:t>1.3</w:t>
            </w:r>
          </w:p>
        </w:tc>
        <w:tc>
          <w:tcPr>
            <w:tcW w:w="745" w:type="dxa"/>
            <w:tcBorders>
              <w:left w:val="single" w:sz="2" w:space="0" w:color="808080" w:themeColor="background1" w:themeShade="80"/>
              <w:right w:val="single" w:sz="2" w:space="0" w:color="808080" w:themeColor="background1" w:themeShade="80"/>
            </w:tcBorders>
            <w:hideMark/>
          </w:tcPr>
          <w:p w:rsidR="00355749" w:rsidRDefault="00355749" w:rsidP="00DD14CB">
            <w:pPr>
              <w:pStyle w:val="NormalWeb"/>
              <w:jc w:val="center"/>
            </w:pPr>
            <w:r>
              <w:t>9</w:t>
            </w:r>
          </w:p>
        </w:tc>
        <w:tc>
          <w:tcPr>
            <w:tcW w:w="745" w:type="dxa"/>
            <w:tcBorders>
              <w:left w:val="single" w:sz="2" w:space="0" w:color="808080" w:themeColor="background1" w:themeShade="80"/>
              <w:right w:val="single" w:sz="2" w:space="0" w:color="808080" w:themeColor="background1" w:themeShade="80"/>
            </w:tcBorders>
            <w:hideMark/>
          </w:tcPr>
          <w:p w:rsidR="00355749" w:rsidRDefault="00355749" w:rsidP="00DD14CB">
            <w:pPr>
              <w:pStyle w:val="NormalWeb"/>
              <w:jc w:val="center"/>
            </w:pPr>
            <w:r>
              <w:t>1.4</w:t>
            </w:r>
          </w:p>
        </w:tc>
        <w:tc>
          <w:tcPr>
            <w:tcW w:w="745" w:type="dxa"/>
            <w:tcBorders>
              <w:left w:val="single" w:sz="2" w:space="0" w:color="808080" w:themeColor="background1" w:themeShade="80"/>
              <w:right w:val="single" w:sz="2" w:space="0" w:color="808080" w:themeColor="background1" w:themeShade="80"/>
            </w:tcBorders>
            <w:hideMark/>
          </w:tcPr>
          <w:p w:rsidR="00355749" w:rsidRDefault="00355749" w:rsidP="00DD14CB">
            <w:pPr>
              <w:pStyle w:val="NormalWeb"/>
              <w:jc w:val="center"/>
            </w:pPr>
            <w:r>
              <w:t>14</w:t>
            </w:r>
          </w:p>
        </w:tc>
        <w:tc>
          <w:tcPr>
            <w:tcW w:w="746" w:type="dxa"/>
            <w:tcBorders>
              <w:left w:val="single" w:sz="2" w:space="0" w:color="808080" w:themeColor="background1" w:themeShade="80"/>
            </w:tcBorders>
            <w:hideMark/>
          </w:tcPr>
          <w:p w:rsidR="00355749" w:rsidRDefault="00355749" w:rsidP="00DD14CB">
            <w:pPr>
              <w:pStyle w:val="NormalWeb"/>
              <w:jc w:val="center"/>
            </w:pPr>
            <w:r>
              <w:t>2.1</w:t>
            </w:r>
          </w:p>
        </w:tc>
      </w:tr>
      <w:tr w:rsidR="00FC33AF" w:rsidTr="00956B34">
        <w:tc>
          <w:tcPr>
            <w:tcW w:w="0" w:type="auto"/>
            <w:tcBorders>
              <w:right w:val="single" w:sz="2" w:space="0" w:color="808080" w:themeColor="background1" w:themeShade="80"/>
            </w:tcBorders>
            <w:hideMark/>
          </w:tcPr>
          <w:p w:rsidR="00355749" w:rsidRDefault="00355749">
            <w:pPr>
              <w:pStyle w:val="NormalWeb"/>
            </w:pPr>
            <w:r>
              <w:t>WA Remote</w:t>
            </w:r>
          </w:p>
        </w:tc>
        <w:tc>
          <w:tcPr>
            <w:tcW w:w="745" w:type="dxa"/>
            <w:tcBorders>
              <w:left w:val="single" w:sz="2" w:space="0" w:color="808080" w:themeColor="background1" w:themeShade="80"/>
              <w:right w:val="single" w:sz="2" w:space="0" w:color="808080" w:themeColor="background1" w:themeShade="80"/>
            </w:tcBorders>
            <w:hideMark/>
          </w:tcPr>
          <w:p w:rsidR="00355749" w:rsidRDefault="00355749" w:rsidP="00DD14CB">
            <w:pPr>
              <w:jc w:val="center"/>
            </w:pPr>
          </w:p>
        </w:tc>
        <w:tc>
          <w:tcPr>
            <w:tcW w:w="745" w:type="dxa"/>
            <w:tcBorders>
              <w:left w:val="single" w:sz="2" w:space="0" w:color="808080" w:themeColor="background1" w:themeShade="80"/>
              <w:right w:val="single" w:sz="2" w:space="0" w:color="808080" w:themeColor="background1" w:themeShade="80"/>
            </w:tcBorders>
            <w:hideMark/>
          </w:tcPr>
          <w:p w:rsidR="00355749" w:rsidRDefault="00355749" w:rsidP="00DD14CB">
            <w:pPr>
              <w:jc w:val="center"/>
              <w:rPr>
                <w:rFonts w:eastAsia="Times New Roman"/>
                <w:sz w:val="20"/>
                <w:szCs w:val="20"/>
              </w:rPr>
            </w:pPr>
          </w:p>
        </w:tc>
        <w:tc>
          <w:tcPr>
            <w:tcW w:w="745" w:type="dxa"/>
            <w:tcBorders>
              <w:left w:val="single" w:sz="2" w:space="0" w:color="808080" w:themeColor="background1" w:themeShade="80"/>
              <w:right w:val="single" w:sz="2" w:space="0" w:color="808080" w:themeColor="background1" w:themeShade="80"/>
            </w:tcBorders>
            <w:hideMark/>
          </w:tcPr>
          <w:p w:rsidR="00355749" w:rsidRDefault="00355749" w:rsidP="00DD14CB">
            <w:pPr>
              <w:jc w:val="center"/>
              <w:rPr>
                <w:rFonts w:eastAsia="Times New Roman"/>
                <w:sz w:val="20"/>
                <w:szCs w:val="20"/>
              </w:rPr>
            </w:pPr>
          </w:p>
        </w:tc>
        <w:tc>
          <w:tcPr>
            <w:tcW w:w="745" w:type="dxa"/>
            <w:tcBorders>
              <w:left w:val="single" w:sz="2" w:space="0" w:color="808080" w:themeColor="background1" w:themeShade="80"/>
              <w:right w:val="single" w:sz="2" w:space="0" w:color="808080" w:themeColor="background1" w:themeShade="80"/>
            </w:tcBorders>
            <w:hideMark/>
          </w:tcPr>
          <w:p w:rsidR="00355749" w:rsidRDefault="00355749" w:rsidP="00DD14CB">
            <w:pPr>
              <w:jc w:val="center"/>
              <w:rPr>
                <w:rFonts w:eastAsia="Times New Roman"/>
                <w:sz w:val="20"/>
                <w:szCs w:val="20"/>
              </w:rPr>
            </w:pPr>
          </w:p>
        </w:tc>
        <w:tc>
          <w:tcPr>
            <w:tcW w:w="746" w:type="dxa"/>
            <w:tcBorders>
              <w:left w:val="single" w:sz="2" w:space="0" w:color="808080" w:themeColor="background1" w:themeShade="80"/>
              <w:right w:val="single" w:sz="2" w:space="0" w:color="808080" w:themeColor="background1" w:themeShade="80"/>
            </w:tcBorders>
            <w:hideMark/>
          </w:tcPr>
          <w:p w:rsidR="00355749" w:rsidRDefault="00355749" w:rsidP="00DD14CB">
            <w:pPr>
              <w:jc w:val="center"/>
              <w:rPr>
                <w:rFonts w:eastAsia="Times New Roman"/>
                <w:sz w:val="20"/>
                <w:szCs w:val="20"/>
              </w:rPr>
            </w:pPr>
          </w:p>
        </w:tc>
        <w:tc>
          <w:tcPr>
            <w:tcW w:w="745" w:type="dxa"/>
            <w:tcBorders>
              <w:left w:val="single" w:sz="2" w:space="0" w:color="808080" w:themeColor="background1" w:themeShade="80"/>
              <w:right w:val="single" w:sz="2" w:space="0" w:color="808080" w:themeColor="background1" w:themeShade="80"/>
            </w:tcBorders>
            <w:hideMark/>
          </w:tcPr>
          <w:p w:rsidR="00355749" w:rsidRDefault="00355749" w:rsidP="00DD14CB">
            <w:pPr>
              <w:jc w:val="center"/>
              <w:rPr>
                <w:rFonts w:eastAsia="Times New Roman"/>
                <w:sz w:val="20"/>
                <w:szCs w:val="20"/>
              </w:rPr>
            </w:pPr>
          </w:p>
        </w:tc>
        <w:tc>
          <w:tcPr>
            <w:tcW w:w="745" w:type="dxa"/>
            <w:tcBorders>
              <w:left w:val="single" w:sz="2" w:space="0" w:color="808080" w:themeColor="background1" w:themeShade="80"/>
              <w:right w:val="single" w:sz="2" w:space="0" w:color="808080" w:themeColor="background1" w:themeShade="80"/>
            </w:tcBorders>
            <w:hideMark/>
          </w:tcPr>
          <w:p w:rsidR="00355749" w:rsidRDefault="00355749" w:rsidP="00DD14CB">
            <w:pPr>
              <w:jc w:val="center"/>
              <w:rPr>
                <w:rFonts w:eastAsia="Times New Roman"/>
                <w:sz w:val="20"/>
                <w:szCs w:val="20"/>
              </w:rPr>
            </w:pPr>
          </w:p>
        </w:tc>
        <w:tc>
          <w:tcPr>
            <w:tcW w:w="745" w:type="dxa"/>
            <w:tcBorders>
              <w:left w:val="single" w:sz="2" w:space="0" w:color="808080" w:themeColor="background1" w:themeShade="80"/>
              <w:right w:val="single" w:sz="2" w:space="0" w:color="808080" w:themeColor="background1" w:themeShade="80"/>
            </w:tcBorders>
            <w:hideMark/>
          </w:tcPr>
          <w:p w:rsidR="00355749" w:rsidRDefault="00355749" w:rsidP="00DD14CB">
            <w:pPr>
              <w:jc w:val="center"/>
              <w:rPr>
                <w:rFonts w:eastAsia="Times New Roman"/>
                <w:sz w:val="20"/>
                <w:szCs w:val="20"/>
              </w:rPr>
            </w:pPr>
          </w:p>
        </w:tc>
        <w:tc>
          <w:tcPr>
            <w:tcW w:w="746" w:type="dxa"/>
            <w:tcBorders>
              <w:left w:val="single" w:sz="2" w:space="0" w:color="808080" w:themeColor="background1" w:themeShade="80"/>
              <w:right w:val="single" w:sz="2" w:space="0" w:color="808080" w:themeColor="background1" w:themeShade="80"/>
            </w:tcBorders>
            <w:hideMark/>
          </w:tcPr>
          <w:p w:rsidR="00355749" w:rsidRDefault="00355749" w:rsidP="00DD14CB">
            <w:pPr>
              <w:pStyle w:val="NormalWeb"/>
              <w:jc w:val="center"/>
              <w:rPr>
                <w:sz w:val="24"/>
                <w:szCs w:val="24"/>
              </w:rPr>
            </w:pPr>
            <w:r>
              <w:t>1</w:t>
            </w:r>
          </w:p>
        </w:tc>
        <w:tc>
          <w:tcPr>
            <w:tcW w:w="745" w:type="dxa"/>
            <w:tcBorders>
              <w:left w:val="single" w:sz="2" w:space="0" w:color="808080" w:themeColor="background1" w:themeShade="80"/>
              <w:right w:val="single" w:sz="2" w:space="0" w:color="808080" w:themeColor="background1" w:themeShade="80"/>
            </w:tcBorders>
            <w:hideMark/>
          </w:tcPr>
          <w:p w:rsidR="00355749" w:rsidRDefault="00355749" w:rsidP="00DD14CB">
            <w:pPr>
              <w:pStyle w:val="NormalWeb"/>
              <w:jc w:val="center"/>
            </w:pPr>
            <w:r>
              <w:t>0.9</w:t>
            </w:r>
          </w:p>
        </w:tc>
        <w:tc>
          <w:tcPr>
            <w:tcW w:w="745" w:type="dxa"/>
            <w:tcBorders>
              <w:left w:val="single" w:sz="2" w:space="0" w:color="808080" w:themeColor="background1" w:themeShade="80"/>
              <w:right w:val="single" w:sz="2" w:space="0" w:color="808080" w:themeColor="background1" w:themeShade="80"/>
            </w:tcBorders>
            <w:hideMark/>
          </w:tcPr>
          <w:p w:rsidR="00355749" w:rsidRDefault="00355749" w:rsidP="00DD14CB">
            <w:pPr>
              <w:pStyle w:val="NormalWeb"/>
              <w:jc w:val="center"/>
            </w:pPr>
            <w:r>
              <w:t>0</w:t>
            </w:r>
          </w:p>
        </w:tc>
        <w:tc>
          <w:tcPr>
            <w:tcW w:w="745" w:type="dxa"/>
            <w:tcBorders>
              <w:left w:val="single" w:sz="2" w:space="0" w:color="808080" w:themeColor="background1" w:themeShade="80"/>
              <w:right w:val="single" w:sz="2" w:space="0" w:color="808080" w:themeColor="background1" w:themeShade="80"/>
            </w:tcBorders>
            <w:hideMark/>
          </w:tcPr>
          <w:p w:rsidR="00355749" w:rsidRDefault="00355749" w:rsidP="00DD14CB">
            <w:pPr>
              <w:pStyle w:val="NormalWeb"/>
              <w:jc w:val="center"/>
            </w:pPr>
            <w:r>
              <w:t>0</w:t>
            </w:r>
          </w:p>
        </w:tc>
        <w:tc>
          <w:tcPr>
            <w:tcW w:w="745" w:type="dxa"/>
            <w:tcBorders>
              <w:left w:val="single" w:sz="2" w:space="0" w:color="808080" w:themeColor="background1" w:themeShade="80"/>
              <w:right w:val="single" w:sz="2" w:space="0" w:color="808080" w:themeColor="background1" w:themeShade="80"/>
            </w:tcBorders>
            <w:hideMark/>
          </w:tcPr>
          <w:p w:rsidR="00355749" w:rsidRDefault="00355749" w:rsidP="00DD14CB">
            <w:pPr>
              <w:pStyle w:val="NormalWeb"/>
              <w:jc w:val="center"/>
            </w:pPr>
            <w:r>
              <w:t>0</w:t>
            </w:r>
          </w:p>
        </w:tc>
        <w:tc>
          <w:tcPr>
            <w:tcW w:w="746" w:type="dxa"/>
            <w:tcBorders>
              <w:left w:val="single" w:sz="2" w:space="0" w:color="808080" w:themeColor="background1" w:themeShade="80"/>
              <w:right w:val="single" w:sz="2" w:space="0" w:color="808080" w:themeColor="background1" w:themeShade="80"/>
            </w:tcBorders>
            <w:hideMark/>
          </w:tcPr>
          <w:p w:rsidR="00355749" w:rsidRDefault="00355749" w:rsidP="00DD14CB">
            <w:pPr>
              <w:pStyle w:val="NormalWeb"/>
              <w:jc w:val="center"/>
            </w:pPr>
            <w:r>
              <w:t>0</w:t>
            </w:r>
          </w:p>
        </w:tc>
        <w:tc>
          <w:tcPr>
            <w:tcW w:w="745" w:type="dxa"/>
            <w:tcBorders>
              <w:left w:val="single" w:sz="2" w:space="0" w:color="808080" w:themeColor="background1" w:themeShade="80"/>
              <w:right w:val="single" w:sz="2" w:space="0" w:color="808080" w:themeColor="background1" w:themeShade="80"/>
            </w:tcBorders>
            <w:hideMark/>
          </w:tcPr>
          <w:p w:rsidR="00355749" w:rsidRDefault="00355749" w:rsidP="00DD14CB">
            <w:pPr>
              <w:pStyle w:val="NormalWeb"/>
              <w:jc w:val="center"/>
            </w:pPr>
            <w:r>
              <w:t>0</w:t>
            </w:r>
          </w:p>
        </w:tc>
        <w:tc>
          <w:tcPr>
            <w:tcW w:w="745" w:type="dxa"/>
            <w:tcBorders>
              <w:left w:val="single" w:sz="2" w:space="0" w:color="808080" w:themeColor="background1" w:themeShade="80"/>
              <w:right w:val="single" w:sz="2" w:space="0" w:color="808080" w:themeColor="background1" w:themeShade="80"/>
            </w:tcBorders>
            <w:hideMark/>
          </w:tcPr>
          <w:p w:rsidR="00355749" w:rsidRDefault="00355749" w:rsidP="00DD14CB">
            <w:pPr>
              <w:pStyle w:val="NormalWeb"/>
              <w:jc w:val="center"/>
            </w:pPr>
            <w:r>
              <w:t>0</w:t>
            </w:r>
          </w:p>
        </w:tc>
        <w:tc>
          <w:tcPr>
            <w:tcW w:w="745" w:type="dxa"/>
            <w:tcBorders>
              <w:left w:val="single" w:sz="2" w:space="0" w:color="808080" w:themeColor="background1" w:themeShade="80"/>
              <w:right w:val="single" w:sz="2" w:space="0" w:color="808080" w:themeColor="background1" w:themeShade="80"/>
            </w:tcBorders>
            <w:hideMark/>
          </w:tcPr>
          <w:p w:rsidR="00355749" w:rsidRDefault="00355749" w:rsidP="00DD14CB">
            <w:pPr>
              <w:pStyle w:val="NormalWeb"/>
              <w:jc w:val="center"/>
            </w:pPr>
            <w:r>
              <w:t>0</w:t>
            </w:r>
          </w:p>
        </w:tc>
        <w:tc>
          <w:tcPr>
            <w:tcW w:w="746" w:type="dxa"/>
            <w:tcBorders>
              <w:left w:val="single" w:sz="2" w:space="0" w:color="808080" w:themeColor="background1" w:themeShade="80"/>
            </w:tcBorders>
            <w:hideMark/>
          </w:tcPr>
          <w:p w:rsidR="00355749" w:rsidRDefault="00355749" w:rsidP="00DD14CB">
            <w:pPr>
              <w:pStyle w:val="NormalWeb"/>
              <w:jc w:val="center"/>
            </w:pPr>
            <w:r>
              <w:t>0</w:t>
            </w:r>
          </w:p>
        </w:tc>
      </w:tr>
      <w:tr w:rsidR="009727C1" w:rsidTr="00956B34">
        <w:trPr>
          <w:cnfStyle w:val="000000010000" w:firstRow="0" w:lastRow="0" w:firstColumn="0" w:lastColumn="0" w:oddVBand="0" w:evenVBand="0" w:oddHBand="0" w:evenHBand="1" w:firstRowFirstColumn="0" w:firstRowLastColumn="0" w:lastRowFirstColumn="0" w:lastRowLastColumn="0"/>
        </w:trPr>
        <w:tc>
          <w:tcPr>
            <w:tcW w:w="0" w:type="auto"/>
            <w:tcBorders>
              <w:right w:val="single" w:sz="2" w:space="0" w:color="808080" w:themeColor="background1" w:themeShade="80"/>
            </w:tcBorders>
            <w:shd w:val="clear" w:color="auto" w:fill="FDE9D9" w:themeFill="accent6" w:themeFillTint="33"/>
            <w:hideMark/>
          </w:tcPr>
          <w:p w:rsidR="00355749" w:rsidRDefault="00355749">
            <w:pPr>
              <w:pStyle w:val="NormalWeb"/>
            </w:pPr>
            <w:r>
              <w:t>Australia</w:t>
            </w:r>
          </w:p>
        </w:tc>
        <w:tc>
          <w:tcPr>
            <w:tcW w:w="745" w:type="dxa"/>
            <w:tcBorders>
              <w:left w:val="single" w:sz="2" w:space="0" w:color="808080" w:themeColor="background1" w:themeShade="80"/>
              <w:right w:val="single" w:sz="2" w:space="0" w:color="808080" w:themeColor="background1" w:themeShade="80"/>
            </w:tcBorders>
            <w:shd w:val="clear" w:color="auto" w:fill="FDE9D9" w:themeFill="accent6" w:themeFillTint="33"/>
            <w:hideMark/>
          </w:tcPr>
          <w:p w:rsidR="00355749" w:rsidRDefault="00355749" w:rsidP="00DD14CB">
            <w:pPr>
              <w:pStyle w:val="NormalWeb"/>
              <w:jc w:val="center"/>
            </w:pPr>
            <w:r>
              <w:t>191</w:t>
            </w:r>
          </w:p>
        </w:tc>
        <w:tc>
          <w:tcPr>
            <w:tcW w:w="745" w:type="dxa"/>
            <w:tcBorders>
              <w:left w:val="single" w:sz="2" w:space="0" w:color="808080" w:themeColor="background1" w:themeShade="80"/>
              <w:right w:val="single" w:sz="2" w:space="0" w:color="808080" w:themeColor="background1" w:themeShade="80"/>
            </w:tcBorders>
            <w:shd w:val="clear" w:color="auto" w:fill="FDE9D9" w:themeFill="accent6" w:themeFillTint="33"/>
            <w:hideMark/>
          </w:tcPr>
          <w:p w:rsidR="00355749" w:rsidRDefault="00355749" w:rsidP="00DD14CB">
            <w:pPr>
              <w:pStyle w:val="NormalWeb"/>
              <w:jc w:val="center"/>
            </w:pPr>
            <w:r>
              <w:t>4.8</w:t>
            </w:r>
          </w:p>
        </w:tc>
        <w:tc>
          <w:tcPr>
            <w:tcW w:w="745" w:type="dxa"/>
            <w:tcBorders>
              <w:left w:val="single" w:sz="2" w:space="0" w:color="808080" w:themeColor="background1" w:themeShade="80"/>
              <w:right w:val="single" w:sz="2" w:space="0" w:color="808080" w:themeColor="background1" w:themeShade="80"/>
            </w:tcBorders>
            <w:shd w:val="clear" w:color="auto" w:fill="FDE9D9" w:themeFill="accent6" w:themeFillTint="33"/>
            <w:hideMark/>
          </w:tcPr>
          <w:p w:rsidR="00355749" w:rsidRDefault="00355749" w:rsidP="00DD14CB">
            <w:pPr>
              <w:pStyle w:val="NormalWeb"/>
              <w:jc w:val="center"/>
            </w:pPr>
            <w:r>
              <w:t>134</w:t>
            </w:r>
          </w:p>
        </w:tc>
        <w:tc>
          <w:tcPr>
            <w:tcW w:w="745" w:type="dxa"/>
            <w:tcBorders>
              <w:left w:val="single" w:sz="2" w:space="0" w:color="808080" w:themeColor="background1" w:themeShade="80"/>
              <w:right w:val="single" w:sz="2" w:space="0" w:color="808080" w:themeColor="background1" w:themeShade="80"/>
            </w:tcBorders>
            <w:shd w:val="clear" w:color="auto" w:fill="FDE9D9" w:themeFill="accent6" w:themeFillTint="33"/>
            <w:hideMark/>
          </w:tcPr>
          <w:p w:rsidR="00355749" w:rsidRDefault="00355749" w:rsidP="00DD14CB">
            <w:pPr>
              <w:pStyle w:val="NormalWeb"/>
              <w:jc w:val="center"/>
            </w:pPr>
            <w:r>
              <w:t>3.2</w:t>
            </w:r>
          </w:p>
        </w:tc>
        <w:tc>
          <w:tcPr>
            <w:tcW w:w="746" w:type="dxa"/>
            <w:tcBorders>
              <w:left w:val="single" w:sz="2" w:space="0" w:color="808080" w:themeColor="background1" w:themeShade="80"/>
              <w:right w:val="single" w:sz="2" w:space="0" w:color="808080" w:themeColor="background1" w:themeShade="80"/>
            </w:tcBorders>
            <w:shd w:val="clear" w:color="auto" w:fill="FDE9D9" w:themeFill="accent6" w:themeFillTint="33"/>
            <w:hideMark/>
          </w:tcPr>
          <w:p w:rsidR="00355749" w:rsidRDefault="00355749" w:rsidP="00DD14CB">
            <w:pPr>
              <w:pStyle w:val="NormalWeb"/>
              <w:jc w:val="center"/>
            </w:pPr>
            <w:r>
              <w:t>207</w:t>
            </w:r>
          </w:p>
        </w:tc>
        <w:tc>
          <w:tcPr>
            <w:tcW w:w="745" w:type="dxa"/>
            <w:tcBorders>
              <w:left w:val="single" w:sz="2" w:space="0" w:color="808080" w:themeColor="background1" w:themeShade="80"/>
              <w:right w:val="single" w:sz="2" w:space="0" w:color="808080" w:themeColor="background1" w:themeShade="80"/>
            </w:tcBorders>
            <w:shd w:val="clear" w:color="auto" w:fill="FDE9D9" w:themeFill="accent6" w:themeFillTint="33"/>
            <w:hideMark/>
          </w:tcPr>
          <w:p w:rsidR="00355749" w:rsidRDefault="00355749" w:rsidP="00DD14CB">
            <w:pPr>
              <w:pStyle w:val="NormalWeb"/>
              <w:jc w:val="center"/>
            </w:pPr>
            <w:r>
              <w:t>4.4</w:t>
            </w:r>
          </w:p>
        </w:tc>
        <w:tc>
          <w:tcPr>
            <w:tcW w:w="745" w:type="dxa"/>
            <w:tcBorders>
              <w:left w:val="single" w:sz="2" w:space="0" w:color="808080" w:themeColor="background1" w:themeShade="80"/>
              <w:right w:val="single" w:sz="2" w:space="0" w:color="808080" w:themeColor="background1" w:themeShade="80"/>
            </w:tcBorders>
            <w:shd w:val="clear" w:color="auto" w:fill="FDE9D9" w:themeFill="accent6" w:themeFillTint="33"/>
            <w:hideMark/>
          </w:tcPr>
          <w:p w:rsidR="00355749" w:rsidRDefault="00355749" w:rsidP="00DD14CB">
            <w:pPr>
              <w:pStyle w:val="NormalWeb"/>
              <w:jc w:val="center"/>
            </w:pPr>
            <w:r>
              <w:t>429</w:t>
            </w:r>
          </w:p>
        </w:tc>
        <w:tc>
          <w:tcPr>
            <w:tcW w:w="745" w:type="dxa"/>
            <w:tcBorders>
              <w:left w:val="single" w:sz="2" w:space="0" w:color="808080" w:themeColor="background1" w:themeShade="80"/>
              <w:right w:val="single" w:sz="2" w:space="0" w:color="808080" w:themeColor="background1" w:themeShade="80"/>
            </w:tcBorders>
            <w:shd w:val="clear" w:color="auto" w:fill="FDE9D9" w:themeFill="accent6" w:themeFillTint="33"/>
            <w:hideMark/>
          </w:tcPr>
          <w:p w:rsidR="00355749" w:rsidRDefault="00355749" w:rsidP="00DD14CB">
            <w:pPr>
              <w:pStyle w:val="NormalWeb"/>
              <w:jc w:val="center"/>
            </w:pPr>
            <w:r>
              <w:t>8.8</w:t>
            </w:r>
          </w:p>
        </w:tc>
        <w:tc>
          <w:tcPr>
            <w:tcW w:w="746" w:type="dxa"/>
            <w:tcBorders>
              <w:left w:val="single" w:sz="2" w:space="0" w:color="808080" w:themeColor="background1" w:themeShade="80"/>
              <w:right w:val="single" w:sz="2" w:space="0" w:color="808080" w:themeColor="background1" w:themeShade="80"/>
            </w:tcBorders>
            <w:shd w:val="clear" w:color="auto" w:fill="FDE9D9" w:themeFill="accent6" w:themeFillTint="33"/>
            <w:hideMark/>
          </w:tcPr>
          <w:p w:rsidR="00355749" w:rsidRDefault="00355749" w:rsidP="00DD14CB">
            <w:pPr>
              <w:pStyle w:val="NormalWeb"/>
              <w:jc w:val="center"/>
            </w:pPr>
            <w:r>
              <w:t>258</w:t>
            </w:r>
          </w:p>
        </w:tc>
        <w:tc>
          <w:tcPr>
            <w:tcW w:w="745" w:type="dxa"/>
            <w:tcBorders>
              <w:left w:val="single" w:sz="2" w:space="0" w:color="808080" w:themeColor="background1" w:themeShade="80"/>
              <w:right w:val="single" w:sz="2" w:space="0" w:color="808080" w:themeColor="background1" w:themeShade="80"/>
            </w:tcBorders>
            <w:shd w:val="clear" w:color="auto" w:fill="FDE9D9" w:themeFill="accent6" w:themeFillTint="33"/>
            <w:hideMark/>
          </w:tcPr>
          <w:p w:rsidR="00355749" w:rsidRDefault="00355749" w:rsidP="00DD14CB">
            <w:pPr>
              <w:pStyle w:val="NormalWeb"/>
              <w:jc w:val="center"/>
            </w:pPr>
            <w:r>
              <w:t>5.4</w:t>
            </w:r>
          </w:p>
        </w:tc>
        <w:tc>
          <w:tcPr>
            <w:tcW w:w="745" w:type="dxa"/>
            <w:tcBorders>
              <w:left w:val="single" w:sz="2" w:space="0" w:color="808080" w:themeColor="background1" w:themeShade="80"/>
              <w:right w:val="single" w:sz="2" w:space="0" w:color="808080" w:themeColor="background1" w:themeShade="80"/>
            </w:tcBorders>
            <w:shd w:val="clear" w:color="auto" w:fill="FDE9D9" w:themeFill="accent6" w:themeFillTint="33"/>
            <w:hideMark/>
          </w:tcPr>
          <w:p w:rsidR="00355749" w:rsidRDefault="00355749" w:rsidP="00DD14CB">
            <w:pPr>
              <w:pStyle w:val="NormalWeb"/>
              <w:jc w:val="center"/>
            </w:pPr>
            <w:r>
              <w:t>98</w:t>
            </w:r>
          </w:p>
        </w:tc>
        <w:tc>
          <w:tcPr>
            <w:tcW w:w="745" w:type="dxa"/>
            <w:tcBorders>
              <w:left w:val="single" w:sz="2" w:space="0" w:color="808080" w:themeColor="background1" w:themeShade="80"/>
              <w:right w:val="single" w:sz="2" w:space="0" w:color="808080" w:themeColor="background1" w:themeShade="80"/>
            </w:tcBorders>
            <w:shd w:val="clear" w:color="auto" w:fill="FDE9D9" w:themeFill="accent6" w:themeFillTint="33"/>
            <w:hideMark/>
          </w:tcPr>
          <w:p w:rsidR="00355749" w:rsidRDefault="00355749" w:rsidP="00DD14CB">
            <w:pPr>
              <w:pStyle w:val="NormalWeb"/>
              <w:jc w:val="center"/>
            </w:pPr>
            <w:r>
              <w:t>1.8</w:t>
            </w:r>
          </w:p>
        </w:tc>
        <w:tc>
          <w:tcPr>
            <w:tcW w:w="745" w:type="dxa"/>
            <w:tcBorders>
              <w:left w:val="single" w:sz="2" w:space="0" w:color="808080" w:themeColor="background1" w:themeShade="80"/>
              <w:right w:val="single" w:sz="2" w:space="0" w:color="808080" w:themeColor="background1" w:themeShade="80"/>
            </w:tcBorders>
            <w:shd w:val="clear" w:color="auto" w:fill="FDE9D9" w:themeFill="accent6" w:themeFillTint="33"/>
            <w:hideMark/>
          </w:tcPr>
          <w:p w:rsidR="00355749" w:rsidRDefault="00355749" w:rsidP="00DD14CB">
            <w:pPr>
              <w:pStyle w:val="NormalWeb"/>
              <w:jc w:val="center"/>
            </w:pPr>
            <w:r>
              <w:t>109</w:t>
            </w:r>
          </w:p>
        </w:tc>
        <w:tc>
          <w:tcPr>
            <w:tcW w:w="746" w:type="dxa"/>
            <w:tcBorders>
              <w:left w:val="single" w:sz="2" w:space="0" w:color="808080" w:themeColor="background1" w:themeShade="80"/>
              <w:right w:val="single" w:sz="2" w:space="0" w:color="808080" w:themeColor="background1" w:themeShade="80"/>
            </w:tcBorders>
            <w:shd w:val="clear" w:color="auto" w:fill="FDE9D9" w:themeFill="accent6" w:themeFillTint="33"/>
            <w:hideMark/>
          </w:tcPr>
          <w:p w:rsidR="00355749" w:rsidRDefault="00355749" w:rsidP="00DD14CB">
            <w:pPr>
              <w:pStyle w:val="NormalWeb"/>
              <w:jc w:val="center"/>
            </w:pPr>
            <w:r>
              <w:t>1.7</w:t>
            </w:r>
          </w:p>
        </w:tc>
        <w:tc>
          <w:tcPr>
            <w:tcW w:w="745" w:type="dxa"/>
            <w:tcBorders>
              <w:left w:val="single" w:sz="2" w:space="0" w:color="808080" w:themeColor="background1" w:themeShade="80"/>
              <w:right w:val="single" w:sz="2" w:space="0" w:color="808080" w:themeColor="background1" w:themeShade="80"/>
            </w:tcBorders>
            <w:shd w:val="clear" w:color="auto" w:fill="FDE9D9" w:themeFill="accent6" w:themeFillTint="33"/>
            <w:hideMark/>
          </w:tcPr>
          <w:p w:rsidR="00355749" w:rsidRDefault="00355749" w:rsidP="00DD14CB">
            <w:pPr>
              <w:pStyle w:val="NormalWeb"/>
              <w:jc w:val="center"/>
            </w:pPr>
            <w:r>
              <w:t>83</w:t>
            </w:r>
          </w:p>
        </w:tc>
        <w:tc>
          <w:tcPr>
            <w:tcW w:w="745" w:type="dxa"/>
            <w:tcBorders>
              <w:left w:val="single" w:sz="2" w:space="0" w:color="808080" w:themeColor="background1" w:themeShade="80"/>
              <w:right w:val="single" w:sz="2" w:space="0" w:color="808080" w:themeColor="background1" w:themeShade="80"/>
            </w:tcBorders>
            <w:shd w:val="clear" w:color="auto" w:fill="FDE9D9" w:themeFill="accent6" w:themeFillTint="33"/>
            <w:hideMark/>
          </w:tcPr>
          <w:p w:rsidR="00355749" w:rsidRDefault="00355749" w:rsidP="00DD14CB">
            <w:pPr>
              <w:pStyle w:val="NormalWeb"/>
              <w:jc w:val="center"/>
            </w:pPr>
            <w:r>
              <w:t>1.1</w:t>
            </w:r>
          </w:p>
        </w:tc>
        <w:tc>
          <w:tcPr>
            <w:tcW w:w="745" w:type="dxa"/>
            <w:tcBorders>
              <w:left w:val="single" w:sz="2" w:space="0" w:color="808080" w:themeColor="background1" w:themeShade="80"/>
              <w:right w:val="single" w:sz="2" w:space="0" w:color="808080" w:themeColor="background1" w:themeShade="80"/>
            </w:tcBorders>
            <w:shd w:val="clear" w:color="auto" w:fill="FDE9D9" w:themeFill="accent6" w:themeFillTint="33"/>
            <w:hideMark/>
          </w:tcPr>
          <w:p w:rsidR="00355749" w:rsidRDefault="00355749" w:rsidP="00DD14CB">
            <w:pPr>
              <w:pStyle w:val="NormalWeb"/>
              <w:jc w:val="center"/>
            </w:pPr>
            <w:r>
              <w:t>156</w:t>
            </w:r>
          </w:p>
        </w:tc>
        <w:tc>
          <w:tcPr>
            <w:tcW w:w="746" w:type="dxa"/>
            <w:tcBorders>
              <w:left w:val="single" w:sz="2" w:space="0" w:color="808080" w:themeColor="background1" w:themeShade="80"/>
            </w:tcBorders>
            <w:shd w:val="clear" w:color="auto" w:fill="FDE9D9" w:themeFill="accent6" w:themeFillTint="33"/>
            <w:hideMark/>
          </w:tcPr>
          <w:p w:rsidR="00355749" w:rsidRDefault="00355749" w:rsidP="00DD14CB">
            <w:pPr>
              <w:pStyle w:val="NormalWeb"/>
              <w:jc w:val="center"/>
            </w:pPr>
            <w:r>
              <w:t>1.7</w:t>
            </w:r>
          </w:p>
        </w:tc>
      </w:tr>
    </w:tbl>
    <w:p w:rsidR="00897DD8" w:rsidRDefault="00897DD8" w:rsidP="00292A25">
      <w:pPr>
        <w:pStyle w:val="CDIFigures"/>
        <w:sectPr w:rsidR="00897DD8" w:rsidSect="00FC33AF">
          <w:pgSz w:w="16838" w:h="11906" w:orient="landscape"/>
          <w:pgMar w:top="720" w:right="720" w:bottom="720" w:left="1134" w:header="709" w:footer="284" w:gutter="0"/>
          <w:cols w:space="708"/>
          <w:titlePg/>
          <w:docGrid w:linePitch="360"/>
        </w:sectPr>
      </w:pPr>
    </w:p>
    <w:p w:rsidR="00355749" w:rsidRPr="00292A25" w:rsidRDefault="00355749" w:rsidP="00292A25">
      <w:pPr>
        <w:pStyle w:val="CDIFigures"/>
      </w:pPr>
      <w:r w:rsidRPr="00292A25">
        <w:lastRenderedPageBreak/>
        <w:t>Table 5: Proportion (%) of gonococcal isolates tested in Australia with ceftriaxone MIC values at 0.06 mg/L and ≥0.125 mg/L, 2010–2018.</w:t>
      </w:r>
    </w:p>
    <w:tbl>
      <w:tblPr>
        <w:tblStyle w:val="CDI-StandardTable"/>
        <w:tblW w:w="0" w:type="auto"/>
        <w:tblLayout w:type="fixed"/>
        <w:tblCellMar>
          <w:top w:w="113" w:type="dxa"/>
          <w:left w:w="113" w:type="dxa"/>
          <w:bottom w:w="113" w:type="dxa"/>
          <w:right w:w="113" w:type="dxa"/>
        </w:tblCellMar>
        <w:tblLook w:val="04A0" w:firstRow="1" w:lastRow="0" w:firstColumn="1" w:lastColumn="0" w:noHBand="0" w:noVBand="1"/>
        <w:tblDescription w:val="shows the percent of gonococcal isolates with decreased susceptibility to ceftriaxone with an MIC of 0.06 and the percent at ≥0.125mg/L, over the years 2010 to 2018. In Australia the proportion with a ceftriaxone MIC of 0.06 mg/L increased from 3.2% in 2011 to 8.2% in 2013, but then decreased to 4.8% in 2014, decreased to 1.6 to 1.7% in 2015-2016, and further decreased in 2017 to 1.06%, before slightly increasing in 2018 to 1.67%. The percent of isolates with a ceftriaxone MIC value of ≥0.125mgL increased from 0.1% in 2011 to 0.6% in 2013-2014, but then decreased to 0.1% in 2015, further decreased to 0.04% to 0.06% in 2016 to 2018."/>
      </w:tblPr>
      <w:tblGrid>
        <w:gridCol w:w="1560"/>
        <w:gridCol w:w="986"/>
        <w:gridCol w:w="987"/>
        <w:gridCol w:w="987"/>
        <w:gridCol w:w="986"/>
        <w:gridCol w:w="987"/>
        <w:gridCol w:w="987"/>
        <w:gridCol w:w="986"/>
        <w:gridCol w:w="987"/>
        <w:gridCol w:w="987"/>
      </w:tblGrid>
      <w:tr w:rsidR="00292A25" w:rsidRPr="00292A25" w:rsidTr="00603559">
        <w:trPr>
          <w:cnfStyle w:val="100000000000" w:firstRow="1" w:lastRow="0" w:firstColumn="0" w:lastColumn="0" w:oddVBand="0" w:evenVBand="0" w:oddHBand="0" w:evenHBand="0" w:firstRowFirstColumn="0" w:firstRowLastColumn="0" w:lastRowFirstColumn="0" w:lastRowLastColumn="0"/>
          <w:tblHeader/>
        </w:trPr>
        <w:tc>
          <w:tcPr>
            <w:tcW w:w="1560" w:type="dxa"/>
            <w:hideMark/>
          </w:tcPr>
          <w:p w:rsidR="00355749" w:rsidRPr="00292A25" w:rsidRDefault="00355749">
            <w:pPr>
              <w:pStyle w:val="NormalWeb"/>
              <w:rPr>
                <w:color w:val="FFFFFF" w:themeColor="background1"/>
              </w:rPr>
            </w:pPr>
            <w:r w:rsidRPr="00292A25">
              <w:rPr>
                <w:color w:val="FFFFFF" w:themeColor="background1"/>
              </w:rPr>
              <w:t>Ceftriaxone</w:t>
            </w:r>
          </w:p>
        </w:tc>
        <w:tc>
          <w:tcPr>
            <w:tcW w:w="986" w:type="dxa"/>
            <w:vMerge w:val="restart"/>
            <w:hideMark/>
          </w:tcPr>
          <w:p w:rsidR="00355749" w:rsidRPr="00292A25" w:rsidRDefault="00355749" w:rsidP="00E03B42">
            <w:pPr>
              <w:pStyle w:val="NormalWeb"/>
              <w:jc w:val="center"/>
              <w:rPr>
                <w:color w:val="FFFFFF" w:themeColor="background1"/>
              </w:rPr>
            </w:pPr>
            <w:r w:rsidRPr="00292A25">
              <w:rPr>
                <w:color w:val="FFFFFF" w:themeColor="background1"/>
              </w:rPr>
              <w:t>2010</w:t>
            </w:r>
          </w:p>
        </w:tc>
        <w:tc>
          <w:tcPr>
            <w:tcW w:w="987" w:type="dxa"/>
            <w:vMerge w:val="restart"/>
            <w:hideMark/>
          </w:tcPr>
          <w:p w:rsidR="00355749" w:rsidRPr="00292A25" w:rsidRDefault="00355749" w:rsidP="00E03B42">
            <w:pPr>
              <w:pStyle w:val="NormalWeb"/>
              <w:jc w:val="center"/>
              <w:rPr>
                <w:color w:val="FFFFFF" w:themeColor="background1"/>
              </w:rPr>
            </w:pPr>
            <w:r w:rsidRPr="00292A25">
              <w:rPr>
                <w:color w:val="FFFFFF" w:themeColor="background1"/>
              </w:rPr>
              <w:t>2011</w:t>
            </w:r>
          </w:p>
        </w:tc>
        <w:tc>
          <w:tcPr>
            <w:tcW w:w="987" w:type="dxa"/>
            <w:vMerge w:val="restart"/>
            <w:hideMark/>
          </w:tcPr>
          <w:p w:rsidR="00355749" w:rsidRPr="00292A25" w:rsidRDefault="00355749" w:rsidP="00E03B42">
            <w:pPr>
              <w:pStyle w:val="NormalWeb"/>
              <w:jc w:val="center"/>
              <w:rPr>
                <w:color w:val="FFFFFF" w:themeColor="background1"/>
              </w:rPr>
            </w:pPr>
            <w:r w:rsidRPr="00292A25">
              <w:rPr>
                <w:color w:val="FFFFFF" w:themeColor="background1"/>
              </w:rPr>
              <w:t>2012</w:t>
            </w:r>
          </w:p>
        </w:tc>
        <w:tc>
          <w:tcPr>
            <w:tcW w:w="986" w:type="dxa"/>
            <w:vMerge w:val="restart"/>
            <w:hideMark/>
          </w:tcPr>
          <w:p w:rsidR="00355749" w:rsidRPr="00292A25" w:rsidRDefault="00355749" w:rsidP="00E03B42">
            <w:pPr>
              <w:pStyle w:val="NormalWeb"/>
              <w:jc w:val="center"/>
              <w:rPr>
                <w:color w:val="FFFFFF" w:themeColor="background1"/>
              </w:rPr>
            </w:pPr>
            <w:r w:rsidRPr="00292A25">
              <w:rPr>
                <w:color w:val="FFFFFF" w:themeColor="background1"/>
              </w:rPr>
              <w:t>2013</w:t>
            </w:r>
          </w:p>
        </w:tc>
        <w:tc>
          <w:tcPr>
            <w:tcW w:w="987" w:type="dxa"/>
            <w:vMerge w:val="restart"/>
            <w:hideMark/>
          </w:tcPr>
          <w:p w:rsidR="00355749" w:rsidRPr="00292A25" w:rsidRDefault="00355749" w:rsidP="00E03B42">
            <w:pPr>
              <w:pStyle w:val="NormalWeb"/>
              <w:jc w:val="center"/>
              <w:rPr>
                <w:color w:val="FFFFFF" w:themeColor="background1"/>
              </w:rPr>
            </w:pPr>
            <w:r w:rsidRPr="00292A25">
              <w:rPr>
                <w:color w:val="FFFFFF" w:themeColor="background1"/>
              </w:rPr>
              <w:t>2014</w:t>
            </w:r>
          </w:p>
        </w:tc>
        <w:tc>
          <w:tcPr>
            <w:tcW w:w="987" w:type="dxa"/>
            <w:vMerge w:val="restart"/>
            <w:hideMark/>
          </w:tcPr>
          <w:p w:rsidR="00355749" w:rsidRPr="00292A25" w:rsidRDefault="00355749" w:rsidP="00E03B42">
            <w:pPr>
              <w:pStyle w:val="NormalWeb"/>
              <w:jc w:val="center"/>
              <w:rPr>
                <w:color w:val="FFFFFF" w:themeColor="background1"/>
              </w:rPr>
            </w:pPr>
            <w:r w:rsidRPr="00292A25">
              <w:rPr>
                <w:color w:val="FFFFFF" w:themeColor="background1"/>
              </w:rPr>
              <w:t>2015</w:t>
            </w:r>
          </w:p>
        </w:tc>
        <w:tc>
          <w:tcPr>
            <w:tcW w:w="986" w:type="dxa"/>
            <w:vMerge w:val="restart"/>
            <w:hideMark/>
          </w:tcPr>
          <w:p w:rsidR="00355749" w:rsidRPr="00292A25" w:rsidRDefault="00355749" w:rsidP="00E03B42">
            <w:pPr>
              <w:pStyle w:val="NormalWeb"/>
              <w:jc w:val="center"/>
              <w:rPr>
                <w:color w:val="FFFFFF" w:themeColor="background1"/>
              </w:rPr>
            </w:pPr>
            <w:r w:rsidRPr="00292A25">
              <w:rPr>
                <w:color w:val="FFFFFF" w:themeColor="background1"/>
              </w:rPr>
              <w:t>2016</w:t>
            </w:r>
          </w:p>
        </w:tc>
        <w:tc>
          <w:tcPr>
            <w:tcW w:w="987" w:type="dxa"/>
            <w:vMerge w:val="restart"/>
            <w:hideMark/>
          </w:tcPr>
          <w:p w:rsidR="00355749" w:rsidRPr="00292A25" w:rsidRDefault="00355749" w:rsidP="00E03B42">
            <w:pPr>
              <w:pStyle w:val="NormalWeb"/>
              <w:jc w:val="center"/>
              <w:rPr>
                <w:color w:val="FFFFFF" w:themeColor="background1"/>
              </w:rPr>
            </w:pPr>
            <w:r w:rsidRPr="00292A25">
              <w:rPr>
                <w:color w:val="FFFFFF" w:themeColor="background1"/>
              </w:rPr>
              <w:t>2017</w:t>
            </w:r>
          </w:p>
        </w:tc>
        <w:tc>
          <w:tcPr>
            <w:tcW w:w="987" w:type="dxa"/>
            <w:vMerge w:val="restart"/>
            <w:hideMark/>
          </w:tcPr>
          <w:p w:rsidR="00355749" w:rsidRPr="00292A25" w:rsidRDefault="00355749" w:rsidP="00E03B42">
            <w:pPr>
              <w:pStyle w:val="NormalWeb"/>
              <w:jc w:val="center"/>
              <w:rPr>
                <w:color w:val="FFFFFF" w:themeColor="background1"/>
              </w:rPr>
            </w:pPr>
            <w:r w:rsidRPr="00292A25">
              <w:rPr>
                <w:color w:val="FFFFFF" w:themeColor="background1"/>
              </w:rPr>
              <w:t>2018</w:t>
            </w:r>
          </w:p>
        </w:tc>
      </w:tr>
      <w:tr w:rsidR="00292A25" w:rsidRPr="00292A25" w:rsidTr="00603559">
        <w:trPr>
          <w:cnfStyle w:val="100000000000" w:firstRow="1" w:lastRow="0" w:firstColumn="0" w:lastColumn="0" w:oddVBand="0" w:evenVBand="0" w:oddHBand="0" w:evenHBand="0" w:firstRowFirstColumn="0" w:firstRowLastColumn="0" w:lastRowFirstColumn="0" w:lastRowLastColumn="0"/>
          <w:tblHeader/>
        </w:trPr>
        <w:tc>
          <w:tcPr>
            <w:tcW w:w="1560" w:type="dxa"/>
            <w:hideMark/>
          </w:tcPr>
          <w:p w:rsidR="00355749" w:rsidRPr="00292A25" w:rsidRDefault="00355749">
            <w:pPr>
              <w:pStyle w:val="NormalWeb"/>
              <w:rPr>
                <w:color w:val="FFFFFF" w:themeColor="background1"/>
              </w:rPr>
            </w:pPr>
            <w:r w:rsidRPr="00292A25">
              <w:rPr>
                <w:color w:val="FFFFFF" w:themeColor="background1"/>
              </w:rPr>
              <w:t>MIC mg/L</w:t>
            </w:r>
          </w:p>
        </w:tc>
        <w:tc>
          <w:tcPr>
            <w:tcW w:w="986" w:type="dxa"/>
            <w:vMerge/>
            <w:hideMark/>
          </w:tcPr>
          <w:p w:rsidR="00355749" w:rsidRPr="00292A25" w:rsidRDefault="00355749" w:rsidP="00E03B42">
            <w:pPr>
              <w:jc w:val="center"/>
              <w:rPr>
                <w:color w:val="FFFFFF" w:themeColor="background1"/>
                <w:sz w:val="24"/>
                <w:szCs w:val="24"/>
              </w:rPr>
            </w:pPr>
          </w:p>
        </w:tc>
        <w:tc>
          <w:tcPr>
            <w:tcW w:w="987" w:type="dxa"/>
            <w:vMerge/>
            <w:hideMark/>
          </w:tcPr>
          <w:p w:rsidR="00355749" w:rsidRPr="00292A25" w:rsidRDefault="00355749" w:rsidP="00E03B42">
            <w:pPr>
              <w:jc w:val="center"/>
              <w:rPr>
                <w:color w:val="FFFFFF" w:themeColor="background1"/>
                <w:sz w:val="24"/>
                <w:szCs w:val="24"/>
              </w:rPr>
            </w:pPr>
          </w:p>
        </w:tc>
        <w:tc>
          <w:tcPr>
            <w:tcW w:w="987" w:type="dxa"/>
            <w:vMerge/>
            <w:hideMark/>
          </w:tcPr>
          <w:p w:rsidR="00355749" w:rsidRPr="00292A25" w:rsidRDefault="00355749" w:rsidP="00E03B42">
            <w:pPr>
              <w:jc w:val="center"/>
              <w:rPr>
                <w:color w:val="FFFFFF" w:themeColor="background1"/>
                <w:sz w:val="24"/>
                <w:szCs w:val="24"/>
              </w:rPr>
            </w:pPr>
          </w:p>
        </w:tc>
        <w:tc>
          <w:tcPr>
            <w:tcW w:w="986" w:type="dxa"/>
            <w:vMerge/>
            <w:hideMark/>
          </w:tcPr>
          <w:p w:rsidR="00355749" w:rsidRPr="00292A25" w:rsidRDefault="00355749" w:rsidP="00E03B42">
            <w:pPr>
              <w:jc w:val="center"/>
              <w:rPr>
                <w:color w:val="FFFFFF" w:themeColor="background1"/>
                <w:sz w:val="24"/>
                <w:szCs w:val="24"/>
              </w:rPr>
            </w:pPr>
          </w:p>
        </w:tc>
        <w:tc>
          <w:tcPr>
            <w:tcW w:w="987" w:type="dxa"/>
            <w:vMerge/>
            <w:hideMark/>
          </w:tcPr>
          <w:p w:rsidR="00355749" w:rsidRPr="00292A25" w:rsidRDefault="00355749" w:rsidP="00E03B42">
            <w:pPr>
              <w:jc w:val="center"/>
              <w:rPr>
                <w:color w:val="FFFFFF" w:themeColor="background1"/>
                <w:sz w:val="24"/>
                <w:szCs w:val="24"/>
              </w:rPr>
            </w:pPr>
          </w:p>
        </w:tc>
        <w:tc>
          <w:tcPr>
            <w:tcW w:w="987" w:type="dxa"/>
            <w:vMerge/>
            <w:hideMark/>
          </w:tcPr>
          <w:p w:rsidR="00355749" w:rsidRPr="00292A25" w:rsidRDefault="00355749" w:rsidP="00E03B42">
            <w:pPr>
              <w:jc w:val="center"/>
              <w:rPr>
                <w:color w:val="FFFFFF" w:themeColor="background1"/>
                <w:sz w:val="24"/>
                <w:szCs w:val="24"/>
              </w:rPr>
            </w:pPr>
          </w:p>
        </w:tc>
        <w:tc>
          <w:tcPr>
            <w:tcW w:w="986" w:type="dxa"/>
            <w:vMerge/>
            <w:hideMark/>
          </w:tcPr>
          <w:p w:rsidR="00355749" w:rsidRPr="00292A25" w:rsidRDefault="00355749" w:rsidP="00E03B42">
            <w:pPr>
              <w:jc w:val="center"/>
              <w:rPr>
                <w:color w:val="FFFFFF" w:themeColor="background1"/>
                <w:sz w:val="24"/>
                <w:szCs w:val="24"/>
              </w:rPr>
            </w:pPr>
          </w:p>
        </w:tc>
        <w:tc>
          <w:tcPr>
            <w:tcW w:w="987" w:type="dxa"/>
            <w:vMerge/>
            <w:hideMark/>
          </w:tcPr>
          <w:p w:rsidR="00355749" w:rsidRPr="00292A25" w:rsidRDefault="00355749" w:rsidP="00E03B42">
            <w:pPr>
              <w:jc w:val="center"/>
              <w:rPr>
                <w:color w:val="FFFFFF" w:themeColor="background1"/>
                <w:sz w:val="24"/>
                <w:szCs w:val="24"/>
              </w:rPr>
            </w:pPr>
          </w:p>
        </w:tc>
        <w:tc>
          <w:tcPr>
            <w:tcW w:w="987" w:type="dxa"/>
            <w:vMerge/>
            <w:hideMark/>
          </w:tcPr>
          <w:p w:rsidR="00355749" w:rsidRPr="00292A25" w:rsidRDefault="00355749" w:rsidP="00E03B42">
            <w:pPr>
              <w:jc w:val="center"/>
              <w:rPr>
                <w:color w:val="FFFFFF" w:themeColor="background1"/>
                <w:sz w:val="24"/>
                <w:szCs w:val="24"/>
              </w:rPr>
            </w:pPr>
          </w:p>
        </w:tc>
      </w:tr>
      <w:tr w:rsidR="00603559" w:rsidTr="00603559">
        <w:tc>
          <w:tcPr>
            <w:tcW w:w="1560" w:type="dxa"/>
            <w:hideMark/>
          </w:tcPr>
          <w:p w:rsidR="00355749" w:rsidRDefault="00355749">
            <w:pPr>
              <w:pStyle w:val="NormalWeb"/>
            </w:pPr>
            <w:r>
              <w:t>0.06</w:t>
            </w:r>
          </w:p>
        </w:tc>
        <w:tc>
          <w:tcPr>
            <w:tcW w:w="986" w:type="dxa"/>
            <w:hideMark/>
          </w:tcPr>
          <w:p w:rsidR="00355749" w:rsidRDefault="00355749" w:rsidP="00E03B42">
            <w:pPr>
              <w:pStyle w:val="NormalWeb"/>
              <w:jc w:val="center"/>
            </w:pPr>
            <w:r>
              <w:t>4.80%</w:t>
            </w:r>
          </w:p>
        </w:tc>
        <w:tc>
          <w:tcPr>
            <w:tcW w:w="987" w:type="dxa"/>
            <w:hideMark/>
          </w:tcPr>
          <w:p w:rsidR="00355749" w:rsidRDefault="00355749" w:rsidP="00E03B42">
            <w:pPr>
              <w:pStyle w:val="NormalWeb"/>
              <w:jc w:val="center"/>
            </w:pPr>
            <w:r>
              <w:t>3.20%</w:t>
            </w:r>
          </w:p>
        </w:tc>
        <w:tc>
          <w:tcPr>
            <w:tcW w:w="987" w:type="dxa"/>
            <w:hideMark/>
          </w:tcPr>
          <w:p w:rsidR="00355749" w:rsidRDefault="00355749" w:rsidP="00E03B42">
            <w:pPr>
              <w:pStyle w:val="NormalWeb"/>
              <w:jc w:val="center"/>
            </w:pPr>
            <w:r>
              <w:t>4.10%</w:t>
            </w:r>
          </w:p>
        </w:tc>
        <w:tc>
          <w:tcPr>
            <w:tcW w:w="986" w:type="dxa"/>
            <w:hideMark/>
          </w:tcPr>
          <w:p w:rsidR="00355749" w:rsidRDefault="00355749" w:rsidP="00E03B42">
            <w:pPr>
              <w:pStyle w:val="NormalWeb"/>
              <w:jc w:val="center"/>
            </w:pPr>
            <w:r>
              <w:t>8.20%</w:t>
            </w:r>
          </w:p>
        </w:tc>
        <w:tc>
          <w:tcPr>
            <w:tcW w:w="987" w:type="dxa"/>
            <w:hideMark/>
          </w:tcPr>
          <w:p w:rsidR="00355749" w:rsidRDefault="00355749" w:rsidP="00E03B42">
            <w:pPr>
              <w:pStyle w:val="NormalWeb"/>
              <w:jc w:val="center"/>
            </w:pPr>
            <w:r>
              <w:t>4.80%</w:t>
            </w:r>
          </w:p>
        </w:tc>
        <w:tc>
          <w:tcPr>
            <w:tcW w:w="987" w:type="dxa"/>
            <w:hideMark/>
          </w:tcPr>
          <w:p w:rsidR="00355749" w:rsidRDefault="00355749" w:rsidP="00E03B42">
            <w:pPr>
              <w:pStyle w:val="NormalWeb"/>
              <w:jc w:val="center"/>
            </w:pPr>
            <w:r>
              <w:t>1.70%</w:t>
            </w:r>
          </w:p>
        </w:tc>
        <w:tc>
          <w:tcPr>
            <w:tcW w:w="986" w:type="dxa"/>
            <w:hideMark/>
          </w:tcPr>
          <w:p w:rsidR="00355749" w:rsidRDefault="00355749" w:rsidP="00E03B42">
            <w:pPr>
              <w:pStyle w:val="NormalWeb"/>
              <w:jc w:val="center"/>
            </w:pPr>
            <w:r>
              <w:t>1.65%</w:t>
            </w:r>
          </w:p>
        </w:tc>
        <w:tc>
          <w:tcPr>
            <w:tcW w:w="987" w:type="dxa"/>
            <w:hideMark/>
          </w:tcPr>
          <w:p w:rsidR="00355749" w:rsidRDefault="00355749" w:rsidP="00E03B42">
            <w:pPr>
              <w:pStyle w:val="NormalWeb"/>
              <w:jc w:val="center"/>
            </w:pPr>
            <w:r>
              <w:t>1.02%</w:t>
            </w:r>
          </w:p>
        </w:tc>
        <w:tc>
          <w:tcPr>
            <w:tcW w:w="987" w:type="dxa"/>
            <w:hideMark/>
          </w:tcPr>
          <w:p w:rsidR="00355749" w:rsidRDefault="00355749" w:rsidP="00E03B42">
            <w:pPr>
              <w:pStyle w:val="NormalWeb"/>
              <w:jc w:val="center"/>
            </w:pPr>
            <w:r>
              <w:t>1.67%</w:t>
            </w:r>
          </w:p>
        </w:tc>
      </w:tr>
      <w:tr w:rsidR="00355749" w:rsidTr="00603559">
        <w:trPr>
          <w:cnfStyle w:val="000000010000" w:firstRow="0" w:lastRow="0" w:firstColumn="0" w:lastColumn="0" w:oddVBand="0" w:evenVBand="0" w:oddHBand="0" w:evenHBand="1" w:firstRowFirstColumn="0" w:firstRowLastColumn="0" w:lastRowFirstColumn="0" w:lastRowLastColumn="0"/>
        </w:trPr>
        <w:tc>
          <w:tcPr>
            <w:tcW w:w="1560" w:type="dxa"/>
            <w:hideMark/>
          </w:tcPr>
          <w:p w:rsidR="00355749" w:rsidRDefault="00355749">
            <w:pPr>
              <w:pStyle w:val="NormalWeb"/>
            </w:pPr>
            <w:r>
              <w:t>≥0.125</w:t>
            </w:r>
          </w:p>
        </w:tc>
        <w:tc>
          <w:tcPr>
            <w:tcW w:w="986" w:type="dxa"/>
            <w:hideMark/>
          </w:tcPr>
          <w:p w:rsidR="00355749" w:rsidRDefault="00355749" w:rsidP="00E03B42">
            <w:pPr>
              <w:pStyle w:val="NormalWeb"/>
              <w:jc w:val="center"/>
            </w:pPr>
            <w:r>
              <w:t>0.10%</w:t>
            </w:r>
          </w:p>
        </w:tc>
        <w:tc>
          <w:tcPr>
            <w:tcW w:w="987" w:type="dxa"/>
            <w:hideMark/>
          </w:tcPr>
          <w:p w:rsidR="00355749" w:rsidRDefault="00355749" w:rsidP="00E03B42">
            <w:pPr>
              <w:pStyle w:val="NormalWeb"/>
              <w:jc w:val="center"/>
            </w:pPr>
            <w:r>
              <w:t>0.10%</w:t>
            </w:r>
          </w:p>
        </w:tc>
        <w:tc>
          <w:tcPr>
            <w:tcW w:w="987" w:type="dxa"/>
            <w:hideMark/>
          </w:tcPr>
          <w:p w:rsidR="00355749" w:rsidRDefault="00355749" w:rsidP="00E03B42">
            <w:pPr>
              <w:pStyle w:val="NormalWeb"/>
              <w:jc w:val="center"/>
            </w:pPr>
            <w:r>
              <w:t>0.30%</w:t>
            </w:r>
          </w:p>
        </w:tc>
        <w:tc>
          <w:tcPr>
            <w:tcW w:w="986" w:type="dxa"/>
            <w:hideMark/>
          </w:tcPr>
          <w:p w:rsidR="00355749" w:rsidRDefault="00355749" w:rsidP="00E03B42">
            <w:pPr>
              <w:pStyle w:val="NormalWeb"/>
              <w:jc w:val="center"/>
            </w:pPr>
            <w:r>
              <w:t>0.60%</w:t>
            </w:r>
          </w:p>
        </w:tc>
        <w:tc>
          <w:tcPr>
            <w:tcW w:w="987" w:type="dxa"/>
            <w:hideMark/>
          </w:tcPr>
          <w:p w:rsidR="00355749" w:rsidRDefault="00355749" w:rsidP="00E03B42">
            <w:pPr>
              <w:pStyle w:val="NormalWeb"/>
              <w:jc w:val="center"/>
            </w:pPr>
            <w:r>
              <w:t>0.60%</w:t>
            </w:r>
          </w:p>
        </w:tc>
        <w:tc>
          <w:tcPr>
            <w:tcW w:w="987" w:type="dxa"/>
            <w:hideMark/>
          </w:tcPr>
          <w:p w:rsidR="00355749" w:rsidRDefault="00355749" w:rsidP="00E03B42">
            <w:pPr>
              <w:pStyle w:val="NormalWeb"/>
              <w:jc w:val="center"/>
            </w:pPr>
            <w:r>
              <w:t>0.10%</w:t>
            </w:r>
          </w:p>
        </w:tc>
        <w:tc>
          <w:tcPr>
            <w:tcW w:w="986" w:type="dxa"/>
            <w:hideMark/>
          </w:tcPr>
          <w:p w:rsidR="00355749" w:rsidRDefault="00355749" w:rsidP="00E03B42">
            <w:pPr>
              <w:pStyle w:val="NormalWeb"/>
              <w:jc w:val="center"/>
            </w:pPr>
            <w:r>
              <w:t>0.05%</w:t>
            </w:r>
          </w:p>
        </w:tc>
        <w:tc>
          <w:tcPr>
            <w:tcW w:w="987" w:type="dxa"/>
            <w:hideMark/>
          </w:tcPr>
          <w:p w:rsidR="00355749" w:rsidRDefault="00355749" w:rsidP="00E03B42">
            <w:pPr>
              <w:pStyle w:val="NormalWeb"/>
              <w:jc w:val="center"/>
            </w:pPr>
            <w:r>
              <w:t>0.04%</w:t>
            </w:r>
          </w:p>
        </w:tc>
        <w:tc>
          <w:tcPr>
            <w:tcW w:w="987" w:type="dxa"/>
            <w:hideMark/>
          </w:tcPr>
          <w:p w:rsidR="00355749" w:rsidRDefault="00355749" w:rsidP="00E03B42">
            <w:pPr>
              <w:pStyle w:val="NormalWeb"/>
              <w:jc w:val="center"/>
            </w:pPr>
            <w:r>
              <w:t>0.06%</w:t>
            </w:r>
          </w:p>
        </w:tc>
      </w:tr>
    </w:tbl>
    <w:p w:rsidR="00355749" w:rsidRPr="00FC3C3B" w:rsidRDefault="00355749" w:rsidP="00FC3C3B">
      <w:pPr>
        <w:pStyle w:val="Heading2"/>
      </w:pPr>
      <w:r w:rsidRPr="00FC3C3B">
        <w:t xml:space="preserve">Azithromycin </w:t>
      </w:r>
    </w:p>
    <w:p w:rsidR="00355749" w:rsidRDefault="00355749" w:rsidP="00FC3C3B">
      <w:r>
        <w:t>Nationally, in 2018, 6.2% of isolates exhibited azithromycin resistance (MIC ≥1.0 mg/L) (Table 3), decreasing from 9.3% reported in 2017.</w:t>
      </w:r>
    </w:p>
    <w:p w:rsidR="00FF592D" w:rsidRDefault="00355749" w:rsidP="00FC3C3B">
      <w:pPr>
        <w:sectPr w:rsidR="00FF592D" w:rsidSect="00A30C37">
          <w:pgSz w:w="11906" w:h="16838"/>
          <w:pgMar w:top="720" w:right="720" w:bottom="1134" w:left="720" w:header="709" w:footer="284" w:gutter="0"/>
          <w:cols w:space="708"/>
          <w:titlePg/>
          <w:docGrid w:linePitch="360"/>
        </w:sectPr>
      </w:pPr>
      <w:r>
        <w:t xml:space="preserve">Since 2012 the rate of azithromycin resistance in Australian NG isolates increased almost fivefold, as shown in Table 6. Rates of </w:t>
      </w:r>
      <w:r w:rsidR="002D5458">
        <w:t>azithromycin resistant</w:t>
      </w:r>
      <w:r>
        <w:t xml:space="preserve"> NG were highest in the Australian Capital Territory (8.7%), Victoria (8.3%) and New South Wales (6.5%) as shown in Tables 3 and 6. In 2018, 9 isolates exhibited high level resistance to azithromycin (MIC value ≥ 256 mg/L), four from New South Wales, three from Victoria and two from Queensland. As noted above, the two isolates from Queensland were extensively drug-resistant (XDR) strains with high ceftriaxone MIC values. An additional 21 isolates were detected with resistance to azithromycin, penicillin and ciprofloxacin. 4.1% of </w:t>
      </w:r>
      <w:r w:rsidR="002D5458">
        <w:t>azithromycin resistant</w:t>
      </w:r>
      <w:r>
        <w:t xml:space="preserve"> isolates demonstrated penicillin and ciprofloxacin resistance.</w:t>
      </w:r>
    </w:p>
    <w:p w:rsidR="00355749" w:rsidRDefault="00355749" w:rsidP="00FF592D">
      <w:pPr>
        <w:pStyle w:val="CDIFigures"/>
      </w:pPr>
      <w:r>
        <w:lastRenderedPageBreak/>
        <w:t xml:space="preserve">Table 6: Number and proportion (%) of gonococcal isolates with resistance to azithromycin (MIC </w:t>
      </w:r>
      <w:r>
        <w:rPr>
          <w:lang w:val="en-US"/>
        </w:rPr>
        <w:t>≥</w:t>
      </w:r>
      <w:r>
        <w:t>1.0 mg/L), Australia, 2012 to 2018, by state or territory.</w:t>
      </w:r>
    </w:p>
    <w:tbl>
      <w:tblPr>
        <w:tblStyle w:val="CDI-StandardTable"/>
        <w:tblW w:w="0" w:type="auto"/>
        <w:tblLayout w:type="fixed"/>
        <w:tblCellMar>
          <w:top w:w="113" w:type="dxa"/>
          <w:left w:w="113" w:type="dxa"/>
          <w:bottom w:w="113" w:type="dxa"/>
          <w:right w:w="113" w:type="dxa"/>
        </w:tblCellMar>
        <w:tblLook w:val="04A0" w:firstRow="1" w:lastRow="0" w:firstColumn="1" w:lastColumn="0" w:noHBand="0" w:noVBand="1"/>
        <w:tblDescription w:val="shows the number and proportion as a percentage of gonococcal isolates with resistance to azithromycin (MIC ≥1.0mg/L) over the years 2012 to 2018, in Australia, by state or territory. In Australia, the proportion of isolates with resistance to azithromycin has increased from 1.3% in 2012 to 9.3% in 2017, and decreased in 2018 to 6.2%. Azithromycin resistance remains uncommon in remote Western Australia and Northern Territory."/>
      </w:tblPr>
      <w:tblGrid>
        <w:gridCol w:w="2127"/>
        <w:gridCol w:w="915"/>
        <w:gridCol w:w="915"/>
        <w:gridCol w:w="915"/>
        <w:gridCol w:w="915"/>
        <w:gridCol w:w="916"/>
        <w:gridCol w:w="915"/>
        <w:gridCol w:w="915"/>
        <w:gridCol w:w="915"/>
        <w:gridCol w:w="915"/>
        <w:gridCol w:w="916"/>
        <w:gridCol w:w="915"/>
        <w:gridCol w:w="915"/>
        <w:gridCol w:w="915"/>
        <w:gridCol w:w="916"/>
      </w:tblGrid>
      <w:tr w:rsidR="00C62266" w:rsidRPr="00C62266" w:rsidTr="006B07A9">
        <w:trPr>
          <w:cnfStyle w:val="100000000000" w:firstRow="1" w:lastRow="0" w:firstColumn="0" w:lastColumn="0" w:oddVBand="0" w:evenVBand="0" w:oddHBand="0" w:evenHBand="0" w:firstRowFirstColumn="0" w:firstRowLastColumn="0" w:lastRowFirstColumn="0" w:lastRowLastColumn="0"/>
          <w:tblHeader/>
        </w:trPr>
        <w:tc>
          <w:tcPr>
            <w:tcW w:w="2127" w:type="dxa"/>
            <w:vMerge w:val="restart"/>
            <w:tcBorders>
              <w:bottom w:val="single" w:sz="2" w:space="0" w:color="FFFFFF" w:themeColor="background1"/>
              <w:right w:val="single" w:sz="2" w:space="0" w:color="FFFFFF" w:themeColor="background1"/>
            </w:tcBorders>
            <w:hideMark/>
          </w:tcPr>
          <w:p w:rsidR="00355749" w:rsidRPr="00C62266" w:rsidRDefault="00355749">
            <w:pPr>
              <w:pStyle w:val="NormalWeb"/>
              <w:rPr>
                <w:color w:val="FFFFFF" w:themeColor="background1"/>
              </w:rPr>
            </w:pPr>
            <w:r w:rsidRPr="00C62266">
              <w:rPr>
                <w:color w:val="FFFFFF" w:themeColor="background1"/>
              </w:rPr>
              <w:t>State or territory</w:t>
            </w:r>
          </w:p>
        </w:tc>
        <w:tc>
          <w:tcPr>
            <w:tcW w:w="12813" w:type="dxa"/>
            <w:gridSpan w:val="14"/>
            <w:tcBorders>
              <w:left w:val="single" w:sz="2" w:space="0" w:color="FFFFFF" w:themeColor="background1"/>
              <w:bottom w:val="single" w:sz="2" w:space="0" w:color="FFFFFF" w:themeColor="background1"/>
            </w:tcBorders>
            <w:hideMark/>
          </w:tcPr>
          <w:p w:rsidR="00355749" w:rsidRPr="00C62266" w:rsidRDefault="00355749" w:rsidP="00B05E9E">
            <w:pPr>
              <w:pStyle w:val="NormalWeb"/>
              <w:jc w:val="center"/>
              <w:rPr>
                <w:color w:val="FFFFFF" w:themeColor="background1"/>
              </w:rPr>
            </w:pPr>
            <w:r w:rsidRPr="00C62266">
              <w:rPr>
                <w:color w:val="FFFFFF" w:themeColor="background1"/>
              </w:rPr>
              <w:t>Azithromycin resistance</w:t>
            </w:r>
          </w:p>
        </w:tc>
      </w:tr>
      <w:tr w:rsidR="00C62266" w:rsidRPr="00C62266" w:rsidTr="006B07A9">
        <w:trPr>
          <w:cnfStyle w:val="100000000000" w:firstRow="1" w:lastRow="0" w:firstColumn="0" w:lastColumn="0" w:oddVBand="0" w:evenVBand="0" w:oddHBand="0" w:evenHBand="0" w:firstRowFirstColumn="0" w:firstRowLastColumn="0" w:lastRowFirstColumn="0" w:lastRowLastColumn="0"/>
          <w:tblHeader/>
        </w:trPr>
        <w:tc>
          <w:tcPr>
            <w:tcW w:w="2127" w:type="dxa"/>
            <w:vMerge/>
            <w:tcBorders>
              <w:top w:val="single" w:sz="2" w:space="0" w:color="FFFFFF" w:themeColor="background1"/>
              <w:bottom w:val="single" w:sz="2" w:space="0" w:color="FFFFFF" w:themeColor="background1"/>
              <w:right w:val="single" w:sz="2" w:space="0" w:color="FFFFFF" w:themeColor="background1"/>
            </w:tcBorders>
            <w:hideMark/>
          </w:tcPr>
          <w:p w:rsidR="00355749" w:rsidRPr="00C62266" w:rsidRDefault="00355749">
            <w:pPr>
              <w:rPr>
                <w:color w:val="FFFFFF" w:themeColor="background1"/>
                <w:sz w:val="24"/>
                <w:szCs w:val="24"/>
              </w:rPr>
            </w:pPr>
          </w:p>
        </w:tc>
        <w:tc>
          <w:tcPr>
            <w:tcW w:w="1830"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hideMark/>
          </w:tcPr>
          <w:p w:rsidR="00355749" w:rsidRPr="00C62266" w:rsidRDefault="00355749" w:rsidP="00B05E9E">
            <w:pPr>
              <w:pStyle w:val="NormalWeb"/>
              <w:jc w:val="center"/>
              <w:rPr>
                <w:color w:val="FFFFFF" w:themeColor="background1"/>
              </w:rPr>
            </w:pPr>
            <w:r w:rsidRPr="00C62266">
              <w:rPr>
                <w:color w:val="FFFFFF" w:themeColor="background1"/>
              </w:rPr>
              <w:t>2012</w:t>
            </w:r>
          </w:p>
        </w:tc>
        <w:tc>
          <w:tcPr>
            <w:tcW w:w="1830"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hideMark/>
          </w:tcPr>
          <w:p w:rsidR="00355749" w:rsidRPr="00C62266" w:rsidRDefault="00355749" w:rsidP="00B05E9E">
            <w:pPr>
              <w:pStyle w:val="NormalWeb"/>
              <w:jc w:val="center"/>
              <w:rPr>
                <w:color w:val="FFFFFF" w:themeColor="background1"/>
              </w:rPr>
            </w:pPr>
            <w:r w:rsidRPr="00C62266">
              <w:rPr>
                <w:color w:val="FFFFFF" w:themeColor="background1"/>
              </w:rPr>
              <w:t>2013</w:t>
            </w:r>
          </w:p>
        </w:tc>
        <w:tc>
          <w:tcPr>
            <w:tcW w:w="1831"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hideMark/>
          </w:tcPr>
          <w:p w:rsidR="00355749" w:rsidRPr="00C62266" w:rsidRDefault="00355749" w:rsidP="00B05E9E">
            <w:pPr>
              <w:pStyle w:val="NormalWeb"/>
              <w:jc w:val="center"/>
              <w:rPr>
                <w:color w:val="FFFFFF" w:themeColor="background1"/>
              </w:rPr>
            </w:pPr>
            <w:r w:rsidRPr="00C62266">
              <w:rPr>
                <w:color w:val="FFFFFF" w:themeColor="background1"/>
              </w:rPr>
              <w:t>2014</w:t>
            </w:r>
          </w:p>
        </w:tc>
        <w:tc>
          <w:tcPr>
            <w:tcW w:w="1830"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hideMark/>
          </w:tcPr>
          <w:p w:rsidR="00355749" w:rsidRPr="00C62266" w:rsidRDefault="00355749" w:rsidP="00B05E9E">
            <w:pPr>
              <w:pStyle w:val="NormalWeb"/>
              <w:jc w:val="center"/>
              <w:rPr>
                <w:color w:val="FFFFFF" w:themeColor="background1"/>
              </w:rPr>
            </w:pPr>
            <w:r w:rsidRPr="00C62266">
              <w:rPr>
                <w:color w:val="FFFFFF" w:themeColor="background1"/>
              </w:rPr>
              <w:t>2015</w:t>
            </w:r>
          </w:p>
        </w:tc>
        <w:tc>
          <w:tcPr>
            <w:tcW w:w="1831"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hideMark/>
          </w:tcPr>
          <w:p w:rsidR="00355749" w:rsidRPr="00C62266" w:rsidRDefault="00355749" w:rsidP="00B05E9E">
            <w:pPr>
              <w:pStyle w:val="NormalWeb"/>
              <w:jc w:val="center"/>
              <w:rPr>
                <w:color w:val="FFFFFF" w:themeColor="background1"/>
              </w:rPr>
            </w:pPr>
            <w:r w:rsidRPr="00C62266">
              <w:rPr>
                <w:color w:val="FFFFFF" w:themeColor="background1"/>
              </w:rPr>
              <w:t>2016</w:t>
            </w:r>
          </w:p>
        </w:tc>
        <w:tc>
          <w:tcPr>
            <w:tcW w:w="1830"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hideMark/>
          </w:tcPr>
          <w:p w:rsidR="00355749" w:rsidRPr="00C62266" w:rsidRDefault="00355749" w:rsidP="00B05E9E">
            <w:pPr>
              <w:pStyle w:val="NormalWeb"/>
              <w:jc w:val="center"/>
              <w:rPr>
                <w:color w:val="FFFFFF" w:themeColor="background1"/>
              </w:rPr>
            </w:pPr>
            <w:r w:rsidRPr="00C62266">
              <w:rPr>
                <w:color w:val="FFFFFF" w:themeColor="background1"/>
              </w:rPr>
              <w:t>2017</w:t>
            </w:r>
          </w:p>
        </w:tc>
        <w:tc>
          <w:tcPr>
            <w:tcW w:w="1831" w:type="dxa"/>
            <w:gridSpan w:val="2"/>
            <w:tcBorders>
              <w:top w:val="single" w:sz="2" w:space="0" w:color="FFFFFF" w:themeColor="background1"/>
              <w:left w:val="single" w:sz="2" w:space="0" w:color="FFFFFF" w:themeColor="background1"/>
              <w:bottom w:val="single" w:sz="2" w:space="0" w:color="FFFFFF" w:themeColor="background1"/>
            </w:tcBorders>
            <w:hideMark/>
          </w:tcPr>
          <w:p w:rsidR="00355749" w:rsidRPr="00C62266" w:rsidRDefault="00355749" w:rsidP="00B05E9E">
            <w:pPr>
              <w:pStyle w:val="NormalWeb"/>
              <w:jc w:val="center"/>
              <w:rPr>
                <w:color w:val="FFFFFF" w:themeColor="background1"/>
              </w:rPr>
            </w:pPr>
            <w:r w:rsidRPr="00C62266">
              <w:rPr>
                <w:color w:val="FFFFFF" w:themeColor="background1"/>
              </w:rPr>
              <w:t>2018</w:t>
            </w:r>
          </w:p>
        </w:tc>
      </w:tr>
      <w:tr w:rsidR="00B05E9E" w:rsidRPr="00C62266" w:rsidTr="00566F58">
        <w:trPr>
          <w:cnfStyle w:val="100000000000" w:firstRow="1" w:lastRow="0" w:firstColumn="0" w:lastColumn="0" w:oddVBand="0" w:evenVBand="0" w:oddHBand="0" w:evenHBand="0" w:firstRowFirstColumn="0" w:firstRowLastColumn="0" w:lastRowFirstColumn="0" w:lastRowLastColumn="0"/>
          <w:tblHeader/>
        </w:trPr>
        <w:tc>
          <w:tcPr>
            <w:tcW w:w="2127" w:type="dxa"/>
            <w:vMerge/>
            <w:tcBorders>
              <w:top w:val="single" w:sz="2" w:space="0" w:color="FFFFFF" w:themeColor="background1"/>
              <w:right w:val="single" w:sz="2" w:space="0" w:color="FFFFFF" w:themeColor="background1"/>
            </w:tcBorders>
            <w:hideMark/>
          </w:tcPr>
          <w:p w:rsidR="00355749" w:rsidRPr="00C62266" w:rsidRDefault="00355749">
            <w:pPr>
              <w:rPr>
                <w:color w:val="FFFFFF" w:themeColor="background1"/>
                <w:sz w:val="24"/>
                <w:szCs w:val="24"/>
              </w:rPr>
            </w:pPr>
          </w:p>
        </w:tc>
        <w:tc>
          <w:tcPr>
            <w:tcW w:w="915" w:type="dxa"/>
            <w:tcBorders>
              <w:top w:val="single" w:sz="2" w:space="0" w:color="FFFFFF" w:themeColor="background1"/>
              <w:left w:val="single" w:sz="2" w:space="0" w:color="FFFFFF" w:themeColor="background1"/>
              <w:right w:val="single" w:sz="2" w:space="0" w:color="FFFFFF" w:themeColor="background1"/>
            </w:tcBorders>
            <w:hideMark/>
          </w:tcPr>
          <w:p w:rsidR="00355749" w:rsidRPr="00C62266" w:rsidRDefault="00355749" w:rsidP="00B05E9E">
            <w:pPr>
              <w:pStyle w:val="NormalWeb"/>
              <w:jc w:val="center"/>
              <w:rPr>
                <w:color w:val="FFFFFF" w:themeColor="background1"/>
              </w:rPr>
            </w:pPr>
            <w:r w:rsidRPr="00C62266">
              <w:rPr>
                <w:color w:val="FFFFFF" w:themeColor="background1"/>
              </w:rPr>
              <w:t>n</w:t>
            </w:r>
          </w:p>
        </w:tc>
        <w:tc>
          <w:tcPr>
            <w:tcW w:w="915" w:type="dxa"/>
            <w:tcBorders>
              <w:top w:val="single" w:sz="2" w:space="0" w:color="FFFFFF" w:themeColor="background1"/>
              <w:left w:val="single" w:sz="2" w:space="0" w:color="FFFFFF" w:themeColor="background1"/>
              <w:right w:val="single" w:sz="2" w:space="0" w:color="FFFFFF" w:themeColor="background1"/>
            </w:tcBorders>
            <w:hideMark/>
          </w:tcPr>
          <w:p w:rsidR="00355749" w:rsidRPr="00C62266" w:rsidRDefault="00355749" w:rsidP="00B05E9E">
            <w:pPr>
              <w:pStyle w:val="NormalWeb"/>
              <w:jc w:val="center"/>
              <w:rPr>
                <w:color w:val="FFFFFF" w:themeColor="background1"/>
              </w:rPr>
            </w:pPr>
            <w:r w:rsidRPr="00C62266">
              <w:rPr>
                <w:color w:val="FFFFFF" w:themeColor="background1"/>
              </w:rPr>
              <w:t>%</w:t>
            </w:r>
          </w:p>
        </w:tc>
        <w:tc>
          <w:tcPr>
            <w:tcW w:w="915" w:type="dxa"/>
            <w:tcBorders>
              <w:top w:val="single" w:sz="2" w:space="0" w:color="FFFFFF" w:themeColor="background1"/>
              <w:left w:val="single" w:sz="2" w:space="0" w:color="FFFFFF" w:themeColor="background1"/>
              <w:right w:val="single" w:sz="2" w:space="0" w:color="FFFFFF" w:themeColor="background1"/>
            </w:tcBorders>
            <w:hideMark/>
          </w:tcPr>
          <w:p w:rsidR="00355749" w:rsidRPr="00C62266" w:rsidRDefault="00355749" w:rsidP="00B05E9E">
            <w:pPr>
              <w:pStyle w:val="NormalWeb"/>
              <w:jc w:val="center"/>
              <w:rPr>
                <w:color w:val="FFFFFF" w:themeColor="background1"/>
              </w:rPr>
            </w:pPr>
            <w:r w:rsidRPr="00C62266">
              <w:rPr>
                <w:color w:val="FFFFFF" w:themeColor="background1"/>
              </w:rPr>
              <w:t>n</w:t>
            </w:r>
          </w:p>
        </w:tc>
        <w:tc>
          <w:tcPr>
            <w:tcW w:w="915" w:type="dxa"/>
            <w:tcBorders>
              <w:top w:val="single" w:sz="2" w:space="0" w:color="FFFFFF" w:themeColor="background1"/>
              <w:left w:val="single" w:sz="2" w:space="0" w:color="FFFFFF" w:themeColor="background1"/>
              <w:right w:val="single" w:sz="2" w:space="0" w:color="FFFFFF" w:themeColor="background1"/>
            </w:tcBorders>
            <w:hideMark/>
          </w:tcPr>
          <w:p w:rsidR="00355749" w:rsidRPr="00C62266" w:rsidRDefault="00355749" w:rsidP="00B05E9E">
            <w:pPr>
              <w:pStyle w:val="NormalWeb"/>
              <w:jc w:val="center"/>
              <w:rPr>
                <w:color w:val="FFFFFF" w:themeColor="background1"/>
              </w:rPr>
            </w:pPr>
            <w:r w:rsidRPr="00C62266">
              <w:rPr>
                <w:color w:val="FFFFFF" w:themeColor="background1"/>
              </w:rPr>
              <w:t>%</w:t>
            </w:r>
          </w:p>
        </w:tc>
        <w:tc>
          <w:tcPr>
            <w:tcW w:w="916" w:type="dxa"/>
            <w:tcBorders>
              <w:top w:val="single" w:sz="2" w:space="0" w:color="FFFFFF" w:themeColor="background1"/>
              <w:left w:val="single" w:sz="2" w:space="0" w:color="FFFFFF" w:themeColor="background1"/>
              <w:right w:val="single" w:sz="2" w:space="0" w:color="FFFFFF" w:themeColor="background1"/>
            </w:tcBorders>
            <w:hideMark/>
          </w:tcPr>
          <w:p w:rsidR="00355749" w:rsidRPr="00C62266" w:rsidRDefault="00355749" w:rsidP="00B05E9E">
            <w:pPr>
              <w:pStyle w:val="NormalWeb"/>
              <w:jc w:val="center"/>
              <w:rPr>
                <w:color w:val="FFFFFF" w:themeColor="background1"/>
              </w:rPr>
            </w:pPr>
            <w:r w:rsidRPr="00C62266">
              <w:rPr>
                <w:color w:val="FFFFFF" w:themeColor="background1"/>
              </w:rPr>
              <w:t>n</w:t>
            </w:r>
          </w:p>
        </w:tc>
        <w:tc>
          <w:tcPr>
            <w:tcW w:w="915" w:type="dxa"/>
            <w:tcBorders>
              <w:top w:val="single" w:sz="2" w:space="0" w:color="FFFFFF" w:themeColor="background1"/>
              <w:left w:val="single" w:sz="2" w:space="0" w:color="FFFFFF" w:themeColor="background1"/>
              <w:right w:val="single" w:sz="2" w:space="0" w:color="FFFFFF" w:themeColor="background1"/>
            </w:tcBorders>
            <w:hideMark/>
          </w:tcPr>
          <w:p w:rsidR="00355749" w:rsidRPr="00C62266" w:rsidRDefault="00355749" w:rsidP="00B05E9E">
            <w:pPr>
              <w:pStyle w:val="NormalWeb"/>
              <w:jc w:val="center"/>
              <w:rPr>
                <w:color w:val="FFFFFF" w:themeColor="background1"/>
              </w:rPr>
            </w:pPr>
            <w:r w:rsidRPr="00C62266">
              <w:rPr>
                <w:color w:val="FFFFFF" w:themeColor="background1"/>
              </w:rPr>
              <w:t>%</w:t>
            </w:r>
          </w:p>
        </w:tc>
        <w:tc>
          <w:tcPr>
            <w:tcW w:w="915" w:type="dxa"/>
            <w:tcBorders>
              <w:top w:val="single" w:sz="2" w:space="0" w:color="FFFFFF" w:themeColor="background1"/>
              <w:left w:val="single" w:sz="2" w:space="0" w:color="FFFFFF" w:themeColor="background1"/>
              <w:right w:val="single" w:sz="2" w:space="0" w:color="FFFFFF" w:themeColor="background1"/>
            </w:tcBorders>
            <w:hideMark/>
          </w:tcPr>
          <w:p w:rsidR="00355749" w:rsidRPr="00C62266" w:rsidRDefault="00355749" w:rsidP="00B05E9E">
            <w:pPr>
              <w:pStyle w:val="NormalWeb"/>
              <w:jc w:val="center"/>
              <w:rPr>
                <w:color w:val="FFFFFF" w:themeColor="background1"/>
              </w:rPr>
            </w:pPr>
            <w:r w:rsidRPr="00C62266">
              <w:rPr>
                <w:color w:val="FFFFFF" w:themeColor="background1"/>
              </w:rPr>
              <w:t>n</w:t>
            </w:r>
          </w:p>
        </w:tc>
        <w:tc>
          <w:tcPr>
            <w:tcW w:w="915" w:type="dxa"/>
            <w:tcBorders>
              <w:top w:val="single" w:sz="2" w:space="0" w:color="FFFFFF" w:themeColor="background1"/>
              <w:left w:val="single" w:sz="2" w:space="0" w:color="FFFFFF" w:themeColor="background1"/>
              <w:right w:val="single" w:sz="2" w:space="0" w:color="FFFFFF" w:themeColor="background1"/>
            </w:tcBorders>
            <w:hideMark/>
          </w:tcPr>
          <w:p w:rsidR="00355749" w:rsidRPr="00C62266" w:rsidRDefault="00355749" w:rsidP="00B05E9E">
            <w:pPr>
              <w:pStyle w:val="NormalWeb"/>
              <w:jc w:val="center"/>
              <w:rPr>
                <w:color w:val="FFFFFF" w:themeColor="background1"/>
              </w:rPr>
            </w:pPr>
            <w:r w:rsidRPr="00C62266">
              <w:rPr>
                <w:color w:val="FFFFFF" w:themeColor="background1"/>
              </w:rPr>
              <w:t>%</w:t>
            </w:r>
          </w:p>
        </w:tc>
        <w:tc>
          <w:tcPr>
            <w:tcW w:w="915" w:type="dxa"/>
            <w:tcBorders>
              <w:top w:val="single" w:sz="2" w:space="0" w:color="FFFFFF" w:themeColor="background1"/>
              <w:left w:val="single" w:sz="2" w:space="0" w:color="FFFFFF" w:themeColor="background1"/>
              <w:right w:val="single" w:sz="2" w:space="0" w:color="FFFFFF" w:themeColor="background1"/>
            </w:tcBorders>
            <w:hideMark/>
          </w:tcPr>
          <w:p w:rsidR="00355749" w:rsidRPr="00C62266" w:rsidRDefault="00355749" w:rsidP="00B05E9E">
            <w:pPr>
              <w:pStyle w:val="NormalWeb"/>
              <w:jc w:val="center"/>
              <w:rPr>
                <w:color w:val="FFFFFF" w:themeColor="background1"/>
              </w:rPr>
            </w:pPr>
            <w:r w:rsidRPr="00C62266">
              <w:rPr>
                <w:color w:val="FFFFFF" w:themeColor="background1"/>
              </w:rPr>
              <w:t>n</w:t>
            </w:r>
          </w:p>
        </w:tc>
        <w:tc>
          <w:tcPr>
            <w:tcW w:w="916" w:type="dxa"/>
            <w:tcBorders>
              <w:top w:val="single" w:sz="2" w:space="0" w:color="FFFFFF" w:themeColor="background1"/>
              <w:left w:val="single" w:sz="2" w:space="0" w:color="FFFFFF" w:themeColor="background1"/>
              <w:right w:val="single" w:sz="2" w:space="0" w:color="FFFFFF" w:themeColor="background1"/>
            </w:tcBorders>
            <w:hideMark/>
          </w:tcPr>
          <w:p w:rsidR="00355749" w:rsidRPr="00C62266" w:rsidRDefault="00355749" w:rsidP="00B05E9E">
            <w:pPr>
              <w:pStyle w:val="NormalWeb"/>
              <w:jc w:val="center"/>
              <w:rPr>
                <w:color w:val="FFFFFF" w:themeColor="background1"/>
              </w:rPr>
            </w:pPr>
            <w:r w:rsidRPr="00C62266">
              <w:rPr>
                <w:color w:val="FFFFFF" w:themeColor="background1"/>
              </w:rPr>
              <w:t>%</w:t>
            </w:r>
          </w:p>
        </w:tc>
        <w:tc>
          <w:tcPr>
            <w:tcW w:w="915" w:type="dxa"/>
            <w:tcBorders>
              <w:top w:val="single" w:sz="2" w:space="0" w:color="FFFFFF" w:themeColor="background1"/>
              <w:left w:val="single" w:sz="2" w:space="0" w:color="FFFFFF" w:themeColor="background1"/>
              <w:right w:val="single" w:sz="2" w:space="0" w:color="FFFFFF" w:themeColor="background1"/>
            </w:tcBorders>
            <w:hideMark/>
          </w:tcPr>
          <w:p w:rsidR="00355749" w:rsidRPr="00C62266" w:rsidRDefault="00355749" w:rsidP="00B05E9E">
            <w:pPr>
              <w:pStyle w:val="NormalWeb"/>
              <w:jc w:val="center"/>
              <w:rPr>
                <w:color w:val="FFFFFF" w:themeColor="background1"/>
              </w:rPr>
            </w:pPr>
            <w:r w:rsidRPr="00C62266">
              <w:rPr>
                <w:color w:val="FFFFFF" w:themeColor="background1"/>
              </w:rPr>
              <w:t>n</w:t>
            </w:r>
          </w:p>
        </w:tc>
        <w:tc>
          <w:tcPr>
            <w:tcW w:w="915" w:type="dxa"/>
            <w:tcBorders>
              <w:top w:val="single" w:sz="2" w:space="0" w:color="FFFFFF" w:themeColor="background1"/>
              <w:left w:val="single" w:sz="2" w:space="0" w:color="FFFFFF" w:themeColor="background1"/>
              <w:right w:val="single" w:sz="2" w:space="0" w:color="FFFFFF" w:themeColor="background1"/>
            </w:tcBorders>
            <w:hideMark/>
          </w:tcPr>
          <w:p w:rsidR="00355749" w:rsidRPr="00C62266" w:rsidRDefault="00355749" w:rsidP="00B05E9E">
            <w:pPr>
              <w:pStyle w:val="NormalWeb"/>
              <w:jc w:val="center"/>
              <w:rPr>
                <w:color w:val="FFFFFF" w:themeColor="background1"/>
              </w:rPr>
            </w:pPr>
            <w:r w:rsidRPr="00C62266">
              <w:rPr>
                <w:color w:val="FFFFFF" w:themeColor="background1"/>
              </w:rPr>
              <w:t>%</w:t>
            </w:r>
          </w:p>
        </w:tc>
        <w:tc>
          <w:tcPr>
            <w:tcW w:w="915" w:type="dxa"/>
            <w:tcBorders>
              <w:top w:val="single" w:sz="2" w:space="0" w:color="FFFFFF" w:themeColor="background1"/>
              <w:left w:val="single" w:sz="2" w:space="0" w:color="FFFFFF" w:themeColor="background1"/>
              <w:right w:val="single" w:sz="2" w:space="0" w:color="FFFFFF" w:themeColor="background1"/>
            </w:tcBorders>
            <w:hideMark/>
          </w:tcPr>
          <w:p w:rsidR="00355749" w:rsidRPr="00C62266" w:rsidRDefault="00355749" w:rsidP="00B05E9E">
            <w:pPr>
              <w:pStyle w:val="NormalWeb"/>
              <w:jc w:val="center"/>
              <w:rPr>
                <w:color w:val="FFFFFF" w:themeColor="background1"/>
              </w:rPr>
            </w:pPr>
            <w:r w:rsidRPr="00C62266">
              <w:rPr>
                <w:color w:val="FFFFFF" w:themeColor="background1"/>
              </w:rPr>
              <w:t>n</w:t>
            </w:r>
          </w:p>
        </w:tc>
        <w:tc>
          <w:tcPr>
            <w:tcW w:w="916" w:type="dxa"/>
            <w:tcBorders>
              <w:top w:val="single" w:sz="2" w:space="0" w:color="FFFFFF" w:themeColor="background1"/>
              <w:left w:val="single" w:sz="2" w:space="0" w:color="FFFFFF" w:themeColor="background1"/>
            </w:tcBorders>
            <w:hideMark/>
          </w:tcPr>
          <w:p w:rsidR="00355749" w:rsidRPr="00C62266" w:rsidRDefault="00355749" w:rsidP="00B05E9E">
            <w:pPr>
              <w:pStyle w:val="NormalWeb"/>
              <w:jc w:val="center"/>
              <w:rPr>
                <w:color w:val="FFFFFF" w:themeColor="background1"/>
              </w:rPr>
            </w:pPr>
            <w:r w:rsidRPr="00C62266">
              <w:rPr>
                <w:color w:val="FFFFFF" w:themeColor="background1"/>
              </w:rPr>
              <w:t>%</w:t>
            </w:r>
          </w:p>
        </w:tc>
      </w:tr>
      <w:tr w:rsidR="006B07A9" w:rsidTr="00566F58">
        <w:tc>
          <w:tcPr>
            <w:tcW w:w="2127" w:type="dxa"/>
            <w:tcBorders>
              <w:right w:val="single" w:sz="2" w:space="0" w:color="808080" w:themeColor="background1" w:themeShade="80"/>
            </w:tcBorders>
            <w:hideMark/>
          </w:tcPr>
          <w:p w:rsidR="00355749" w:rsidRDefault="00355749">
            <w:pPr>
              <w:pStyle w:val="NormalWeb"/>
            </w:pPr>
            <w:r>
              <w:t>ACT</w:t>
            </w:r>
          </w:p>
        </w:tc>
        <w:tc>
          <w:tcPr>
            <w:tcW w:w="915" w:type="dxa"/>
            <w:tcBorders>
              <w:left w:val="single" w:sz="2" w:space="0" w:color="808080" w:themeColor="background1" w:themeShade="80"/>
              <w:right w:val="single" w:sz="2" w:space="0" w:color="808080" w:themeColor="background1" w:themeShade="80"/>
            </w:tcBorders>
            <w:hideMark/>
          </w:tcPr>
          <w:p w:rsidR="00355749" w:rsidRDefault="00355749" w:rsidP="00B05E9E">
            <w:pPr>
              <w:pStyle w:val="NormalWeb"/>
              <w:jc w:val="center"/>
            </w:pPr>
            <w:r>
              <w:t>0</w:t>
            </w:r>
          </w:p>
        </w:tc>
        <w:tc>
          <w:tcPr>
            <w:tcW w:w="915" w:type="dxa"/>
            <w:tcBorders>
              <w:left w:val="single" w:sz="2" w:space="0" w:color="808080" w:themeColor="background1" w:themeShade="80"/>
              <w:right w:val="single" w:sz="2" w:space="0" w:color="808080" w:themeColor="background1" w:themeShade="80"/>
            </w:tcBorders>
            <w:hideMark/>
          </w:tcPr>
          <w:p w:rsidR="00355749" w:rsidRDefault="00355749" w:rsidP="00B05E9E">
            <w:pPr>
              <w:pStyle w:val="NormalWeb"/>
              <w:jc w:val="center"/>
            </w:pPr>
            <w:r>
              <w:t>0</w:t>
            </w:r>
          </w:p>
        </w:tc>
        <w:tc>
          <w:tcPr>
            <w:tcW w:w="915" w:type="dxa"/>
            <w:tcBorders>
              <w:left w:val="single" w:sz="2" w:space="0" w:color="808080" w:themeColor="background1" w:themeShade="80"/>
              <w:right w:val="single" w:sz="2" w:space="0" w:color="808080" w:themeColor="background1" w:themeShade="80"/>
            </w:tcBorders>
            <w:hideMark/>
          </w:tcPr>
          <w:p w:rsidR="00355749" w:rsidRDefault="00355749" w:rsidP="00B05E9E">
            <w:pPr>
              <w:pStyle w:val="NormalWeb"/>
              <w:jc w:val="center"/>
            </w:pPr>
            <w:r>
              <w:t>1</w:t>
            </w:r>
          </w:p>
        </w:tc>
        <w:tc>
          <w:tcPr>
            <w:tcW w:w="915" w:type="dxa"/>
            <w:tcBorders>
              <w:left w:val="single" w:sz="2" w:space="0" w:color="808080" w:themeColor="background1" w:themeShade="80"/>
              <w:right w:val="single" w:sz="2" w:space="0" w:color="808080" w:themeColor="background1" w:themeShade="80"/>
            </w:tcBorders>
            <w:hideMark/>
          </w:tcPr>
          <w:p w:rsidR="00355749" w:rsidRDefault="00355749" w:rsidP="00B05E9E">
            <w:pPr>
              <w:pStyle w:val="NormalWeb"/>
              <w:jc w:val="center"/>
            </w:pPr>
            <w:r>
              <w:t>2.2</w:t>
            </w:r>
          </w:p>
        </w:tc>
        <w:tc>
          <w:tcPr>
            <w:tcW w:w="916" w:type="dxa"/>
            <w:tcBorders>
              <w:left w:val="single" w:sz="2" w:space="0" w:color="808080" w:themeColor="background1" w:themeShade="80"/>
              <w:right w:val="single" w:sz="2" w:space="0" w:color="808080" w:themeColor="background1" w:themeShade="80"/>
            </w:tcBorders>
            <w:hideMark/>
          </w:tcPr>
          <w:p w:rsidR="00355749" w:rsidRDefault="00355749" w:rsidP="00B05E9E">
            <w:pPr>
              <w:pStyle w:val="NormalWeb"/>
              <w:jc w:val="center"/>
            </w:pPr>
            <w:r>
              <w:t>7</w:t>
            </w:r>
          </w:p>
        </w:tc>
        <w:tc>
          <w:tcPr>
            <w:tcW w:w="915" w:type="dxa"/>
            <w:tcBorders>
              <w:left w:val="single" w:sz="2" w:space="0" w:color="808080" w:themeColor="background1" w:themeShade="80"/>
              <w:right w:val="single" w:sz="2" w:space="0" w:color="808080" w:themeColor="background1" w:themeShade="80"/>
            </w:tcBorders>
            <w:hideMark/>
          </w:tcPr>
          <w:p w:rsidR="00355749" w:rsidRDefault="00355749" w:rsidP="00B05E9E">
            <w:pPr>
              <w:pStyle w:val="NormalWeb"/>
              <w:jc w:val="center"/>
            </w:pPr>
            <w:r>
              <w:t>9.3</w:t>
            </w:r>
          </w:p>
        </w:tc>
        <w:tc>
          <w:tcPr>
            <w:tcW w:w="915" w:type="dxa"/>
            <w:tcBorders>
              <w:left w:val="single" w:sz="2" w:space="0" w:color="808080" w:themeColor="background1" w:themeShade="80"/>
              <w:right w:val="single" w:sz="2" w:space="0" w:color="808080" w:themeColor="background1" w:themeShade="80"/>
            </w:tcBorders>
            <w:hideMark/>
          </w:tcPr>
          <w:p w:rsidR="00355749" w:rsidRDefault="00355749" w:rsidP="00B05E9E">
            <w:pPr>
              <w:pStyle w:val="NormalWeb"/>
              <w:jc w:val="center"/>
            </w:pPr>
            <w:r>
              <w:t>0</w:t>
            </w:r>
          </w:p>
        </w:tc>
        <w:tc>
          <w:tcPr>
            <w:tcW w:w="915" w:type="dxa"/>
            <w:tcBorders>
              <w:left w:val="single" w:sz="2" w:space="0" w:color="808080" w:themeColor="background1" w:themeShade="80"/>
              <w:right w:val="single" w:sz="2" w:space="0" w:color="808080" w:themeColor="background1" w:themeShade="80"/>
            </w:tcBorders>
            <w:hideMark/>
          </w:tcPr>
          <w:p w:rsidR="00355749" w:rsidRDefault="00355749" w:rsidP="00B05E9E">
            <w:pPr>
              <w:pStyle w:val="NormalWeb"/>
              <w:jc w:val="center"/>
            </w:pPr>
            <w:r>
              <w:t>0</w:t>
            </w:r>
          </w:p>
        </w:tc>
        <w:tc>
          <w:tcPr>
            <w:tcW w:w="915" w:type="dxa"/>
            <w:tcBorders>
              <w:left w:val="single" w:sz="2" w:space="0" w:color="808080" w:themeColor="background1" w:themeShade="80"/>
              <w:right w:val="single" w:sz="2" w:space="0" w:color="808080" w:themeColor="background1" w:themeShade="80"/>
            </w:tcBorders>
            <w:hideMark/>
          </w:tcPr>
          <w:p w:rsidR="00355749" w:rsidRDefault="00355749" w:rsidP="00B05E9E">
            <w:pPr>
              <w:pStyle w:val="NormalWeb"/>
              <w:jc w:val="center"/>
            </w:pPr>
            <w:r>
              <w:t>8</w:t>
            </w:r>
          </w:p>
        </w:tc>
        <w:tc>
          <w:tcPr>
            <w:tcW w:w="916" w:type="dxa"/>
            <w:tcBorders>
              <w:left w:val="single" w:sz="2" w:space="0" w:color="808080" w:themeColor="background1" w:themeShade="80"/>
              <w:right w:val="single" w:sz="2" w:space="0" w:color="808080" w:themeColor="background1" w:themeShade="80"/>
            </w:tcBorders>
            <w:hideMark/>
          </w:tcPr>
          <w:p w:rsidR="00355749" w:rsidRDefault="00355749" w:rsidP="00B05E9E">
            <w:pPr>
              <w:pStyle w:val="NormalWeb"/>
              <w:jc w:val="center"/>
            </w:pPr>
            <w:r>
              <w:t>7.1</w:t>
            </w:r>
          </w:p>
        </w:tc>
        <w:tc>
          <w:tcPr>
            <w:tcW w:w="915" w:type="dxa"/>
            <w:tcBorders>
              <w:left w:val="single" w:sz="2" w:space="0" w:color="808080" w:themeColor="background1" w:themeShade="80"/>
              <w:right w:val="single" w:sz="2" w:space="0" w:color="808080" w:themeColor="background1" w:themeShade="80"/>
            </w:tcBorders>
            <w:hideMark/>
          </w:tcPr>
          <w:p w:rsidR="00355749" w:rsidRDefault="00355749" w:rsidP="00B05E9E">
            <w:pPr>
              <w:pStyle w:val="NormalWeb"/>
              <w:jc w:val="center"/>
            </w:pPr>
            <w:r>
              <w:t>3</w:t>
            </w:r>
          </w:p>
        </w:tc>
        <w:tc>
          <w:tcPr>
            <w:tcW w:w="915" w:type="dxa"/>
            <w:tcBorders>
              <w:left w:val="single" w:sz="2" w:space="0" w:color="808080" w:themeColor="background1" w:themeShade="80"/>
              <w:right w:val="single" w:sz="2" w:space="0" w:color="808080" w:themeColor="background1" w:themeShade="80"/>
            </w:tcBorders>
            <w:hideMark/>
          </w:tcPr>
          <w:p w:rsidR="00355749" w:rsidRDefault="00355749" w:rsidP="00B05E9E">
            <w:pPr>
              <w:pStyle w:val="NormalWeb"/>
              <w:jc w:val="center"/>
            </w:pPr>
            <w:r>
              <w:t>2.1</w:t>
            </w:r>
          </w:p>
        </w:tc>
        <w:tc>
          <w:tcPr>
            <w:tcW w:w="915" w:type="dxa"/>
            <w:tcBorders>
              <w:left w:val="single" w:sz="2" w:space="0" w:color="808080" w:themeColor="background1" w:themeShade="80"/>
              <w:right w:val="single" w:sz="2" w:space="0" w:color="808080" w:themeColor="background1" w:themeShade="80"/>
            </w:tcBorders>
            <w:hideMark/>
          </w:tcPr>
          <w:p w:rsidR="00355749" w:rsidRDefault="00355749" w:rsidP="00B05E9E">
            <w:pPr>
              <w:pStyle w:val="NormalWeb"/>
              <w:jc w:val="center"/>
            </w:pPr>
            <w:r>
              <w:t>18</w:t>
            </w:r>
          </w:p>
        </w:tc>
        <w:tc>
          <w:tcPr>
            <w:tcW w:w="916" w:type="dxa"/>
            <w:tcBorders>
              <w:left w:val="single" w:sz="2" w:space="0" w:color="808080" w:themeColor="background1" w:themeShade="80"/>
            </w:tcBorders>
            <w:hideMark/>
          </w:tcPr>
          <w:p w:rsidR="00355749" w:rsidRDefault="00355749" w:rsidP="00B05E9E">
            <w:pPr>
              <w:pStyle w:val="NormalWeb"/>
              <w:jc w:val="center"/>
            </w:pPr>
            <w:r>
              <w:t>8.7</w:t>
            </w:r>
          </w:p>
        </w:tc>
      </w:tr>
      <w:tr w:rsidR="00B05E9E" w:rsidTr="00566F58">
        <w:trPr>
          <w:cnfStyle w:val="000000010000" w:firstRow="0" w:lastRow="0" w:firstColumn="0" w:lastColumn="0" w:oddVBand="0" w:evenVBand="0" w:oddHBand="0" w:evenHBand="1" w:firstRowFirstColumn="0" w:firstRowLastColumn="0" w:lastRowFirstColumn="0" w:lastRowLastColumn="0"/>
        </w:trPr>
        <w:tc>
          <w:tcPr>
            <w:tcW w:w="2127" w:type="dxa"/>
            <w:tcBorders>
              <w:right w:val="single" w:sz="2" w:space="0" w:color="808080" w:themeColor="background1" w:themeShade="80"/>
            </w:tcBorders>
            <w:hideMark/>
          </w:tcPr>
          <w:p w:rsidR="00355749" w:rsidRDefault="00355749">
            <w:pPr>
              <w:pStyle w:val="NormalWeb"/>
            </w:pPr>
            <w:r>
              <w:t>NSW</w:t>
            </w:r>
          </w:p>
        </w:tc>
        <w:tc>
          <w:tcPr>
            <w:tcW w:w="915" w:type="dxa"/>
            <w:tcBorders>
              <w:left w:val="single" w:sz="2" w:space="0" w:color="808080" w:themeColor="background1" w:themeShade="80"/>
              <w:right w:val="single" w:sz="2" w:space="0" w:color="808080" w:themeColor="background1" w:themeShade="80"/>
            </w:tcBorders>
            <w:hideMark/>
          </w:tcPr>
          <w:p w:rsidR="00355749" w:rsidRDefault="00355749" w:rsidP="00B05E9E">
            <w:pPr>
              <w:pStyle w:val="NormalWeb"/>
              <w:jc w:val="center"/>
            </w:pPr>
            <w:r>
              <w:t>9</w:t>
            </w:r>
          </w:p>
        </w:tc>
        <w:tc>
          <w:tcPr>
            <w:tcW w:w="915" w:type="dxa"/>
            <w:tcBorders>
              <w:left w:val="single" w:sz="2" w:space="0" w:color="808080" w:themeColor="background1" w:themeShade="80"/>
              <w:right w:val="single" w:sz="2" w:space="0" w:color="808080" w:themeColor="background1" w:themeShade="80"/>
            </w:tcBorders>
            <w:hideMark/>
          </w:tcPr>
          <w:p w:rsidR="00355749" w:rsidRDefault="00355749" w:rsidP="00B05E9E">
            <w:pPr>
              <w:pStyle w:val="NormalWeb"/>
              <w:jc w:val="center"/>
            </w:pPr>
            <w:r>
              <w:t>0.5</w:t>
            </w:r>
          </w:p>
        </w:tc>
        <w:tc>
          <w:tcPr>
            <w:tcW w:w="915" w:type="dxa"/>
            <w:tcBorders>
              <w:left w:val="single" w:sz="2" w:space="0" w:color="808080" w:themeColor="background1" w:themeShade="80"/>
              <w:right w:val="single" w:sz="2" w:space="0" w:color="808080" w:themeColor="background1" w:themeShade="80"/>
            </w:tcBorders>
            <w:hideMark/>
          </w:tcPr>
          <w:p w:rsidR="00355749" w:rsidRDefault="00355749" w:rsidP="00B05E9E">
            <w:pPr>
              <w:pStyle w:val="NormalWeb"/>
              <w:jc w:val="center"/>
            </w:pPr>
            <w:r>
              <w:t>14</w:t>
            </w:r>
          </w:p>
        </w:tc>
        <w:tc>
          <w:tcPr>
            <w:tcW w:w="915" w:type="dxa"/>
            <w:tcBorders>
              <w:left w:val="single" w:sz="2" w:space="0" w:color="808080" w:themeColor="background1" w:themeShade="80"/>
              <w:right w:val="single" w:sz="2" w:space="0" w:color="808080" w:themeColor="background1" w:themeShade="80"/>
            </w:tcBorders>
            <w:hideMark/>
          </w:tcPr>
          <w:p w:rsidR="00355749" w:rsidRDefault="00355749" w:rsidP="00B05E9E">
            <w:pPr>
              <w:pStyle w:val="NormalWeb"/>
              <w:jc w:val="center"/>
            </w:pPr>
            <w:r>
              <w:t>0.9</w:t>
            </w:r>
          </w:p>
        </w:tc>
        <w:tc>
          <w:tcPr>
            <w:tcW w:w="916" w:type="dxa"/>
            <w:tcBorders>
              <w:left w:val="single" w:sz="2" w:space="0" w:color="808080" w:themeColor="background1" w:themeShade="80"/>
              <w:right w:val="single" w:sz="2" w:space="0" w:color="808080" w:themeColor="background1" w:themeShade="80"/>
            </w:tcBorders>
            <w:hideMark/>
          </w:tcPr>
          <w:p w:rsidR="00355749" w:rsidRDefault="00355749" w:rsidP="00B05E9E">
            <w:pPr>
              <w:pStyle w:val="NormalWeb"/>
              <w:jc w:val="center"/>
            </w:pPr>
            <w:r>
              <w:t>33</w:t>
            </w:r>
          </w:p>
        </w:tc>
        <w:tc>
          <w:tcPr>
            <w:tcW w:w="915" w:type="dxa"/>
            <w:tcBorders>
              <w:left w:val="single" w:sz="2" w:space="0" w:color="808080" w:themeColor="background1" w:themeShade="80"/>
              <w:right w:val="single" w:sz="2" w:space="0" w:color="808080" w:themeColor="background1" w:themeShade="80"/>
            </w:tcBorders>
            <w:hideMark/>
          </w:tcPr>
          <w:p w:rsidR="00355749" w:rsidRDefault="00355749" w:rsidP="00B05E9E">
            <w:pPr>
              <w:pStyle w:val="NormalWeb"/>
              <w:jc w:val="center"/>
            </w:pPr>
            <w:r>
              <w:t>2.0</w:t>
            </w:r>
          </w:p>
        </w:tc>
        <w:tc>
          <w:tcPr>
            <w:tcW w:w="915" w:type="dxa"/>
            <w:tcBorders>
              <w:left w:val="single" w:sz="2" w:space="0" w:color="808080" w:themeColor="background1" w:themeShade="80"/>
              <w:right w:val="single" w:sz="2" w:space="0" w:color="808080" w:themeColor="background1" w:themeShade="80"/>
            </w:tcBorders>
            <w:hideMark/>
          </w:tcPr>
          <w:p w:rsidR="00355749" w:rsidRDefault="00355749" w:rsidP="00B05E9E">
            <w:pPr>
              <w:pStyle w:val="NormalWeb"/>
              <w:jc w:val="center"/>
            </w:pPr>
            <w:r>
              <w:t>43</w:t>
            </w:r>
          </w:p>
        </w:tc>
        <w:tc>
          <w:tcPr>
            <w:tcW w:w="915" w:type="dxa"/>
            <w:tcBorders>
              <w:left w:val="single" w:sz="2" w:space="0" w:color="808080" w:themeColor="background1" w:themeShade="80"/>
              <w:right w:val="single" w:sz="2" w:space="0" w:color="808080" w:themeColor="background1" w:themeShade="80"/>
            </w:tcBorders>
            <w:hideMark/>
          </w:tcPr>
          <w:p w:rsidR="00355749" w:rsidRDefault="00355749" w:rsidP="00B05E9E">
            <w:pPr>
              <w:pStyle w:val="NormalWeb"/>
              <w:jc w:val="center"/>
            </w:pPr>
            <w:r>
              <w:t>2.3</w:t>
            </w:r>
          </w:p>
        </w:tc>
        <w:tc>
          <w:tcPr>
            <w:tcW w:w="915" w:type="dxa"/>
            <w:tcBorders>
              <w:left w:val="single" w:sz="2" w:space="0" w:color="808080" w:themeColor="background1" w:themeShade="80"/>
              <w:right w:val="single" w:sz="2" w:space="0" w:color="808080" w:themeColor="background1" w:themeShade="80"/>
            </w:tcBorders>
            <w:hideMark/>
          </w:tcPr>
          <w:p w:rsidR="00355749" w:rsidRDefault="00355749" w:rsidP="00B05E9E">
            <w:pPr>
              <w:pStyle w:val="NormalWeb"/>
              <w:jc w:val="center"/>
            </w:pPr>
            <w:r>
              <w:t>82</w:t>
            </w:r>
          </w:p>
        </w:tc>
        <w:tc>
          <w:tcPr>
            <w:tcW w:w="916" w:type="dxa"/>
            <w:tcBorders>
              <w:left w:val="single" w:sz="2" w:space="0" w:color="808080" w:themeColor="background1" w:themeShade="80"/>
              <w:right w:val="single" w:sz="2" w:space="0" w:color="808080" w:themeColor="background1" w:themeShade="80"/>
            </w:tcBorders>
            <w:hideMark/>
          </w:tcPr>
          <w:p w:rsidR="00355749" w:rsidRDefault="00355749" w:rsidP="00B05E9E">
            <w:pPr>
              <w:pStyle w:val="NormalWeb"/>
              <w:jc w:val="center"/>
            </w:pPr>
            <w:r>
              <w:t>3.6</w:t>
            </w:r>
          </w:p>
        </w:tc>
        <w:tc>
          <w:tcPr>
            <w:tcW w:w="915" w:type="dxa"/>
            <w:tcBorders>
              <w:left w:val="single" w:sz="2" w:space="0" w:color="808080" w:themeColor="background1" w:themeShade="80"/>
              <w:right w:val="single" w:sz="2" w:space="0" w:color="808080" w:themeColor="background1" w:themeShade="80"/>
            </w:tcBorders>
            <w:hideMark/>
          </w:tcPr>
          <w:p w:rsidR="00355749" w:rsidRDefault="00355749" w:rsidP="00B05E9E">
            <w:pPr>
              <w:pStyle w:val="NormalWeb"/>
              <w:jc w:val="center"/>
            </w:pPr>
            <w:r>
              <w:t>261</w:t>
            </w:r>
          </w:p>
        </w:tc>
        <w:tc>
          <w:tcPr>
            <w:tcW w:w="915" w:type="dxa"/>
            <w:tcBorders>
              <w:left w:val="single" w:sz="2" w:space="0" w:color="808080" w:themeColor="background1" w:themeShade="80"/>
              <w:right w:val="single" w:sz="2" w:space="0" w:color="808080" w:themeColor="background1" w:themeShade="80"/>
            </w:tcBorders>
            <w:hideMark/>
          </w:tcPr>
          <w:p w:rsidR="00355749" w:rsidRDefault="00355749" w:rsidP="00B05E9E">
            <w:pPr>
              <w:pStyle w:val="NormalWeb"/>
              <w:jc w:val="center"/>
            </w:pPr>
            <w:r>
              <w:t>9.3</w:t>
            </w:r>
          </w:p>
        </w:tc>
        <w:tc>
          <w:tcPr>
            <w:tcW w:w="915" w:type="dxa"/>
            <w:tcBorders>
              <w:left w:val="single" w:sz="2" w:space="0" w:color="808080" w:themeColor="background1" w:themeShade="80"/>
              <w:right w:val="single" w:sz="2" w:space="0" w:color="808080" w:themeColor="background1" w:themeShade="80"/>
            </w:tcBorders>
            <w:hideMark/>
          </w:tcPr>
          <w:p w:rsidR="00355749" w:rsidRDefault="00355749" w:rsidP="00B05E9E">
            <w:pPr>
              <w:pStyle w:val="NormalWeb"/>
              <w:jc w:val="center"/>
            </w:pPr>
            <w:r>
              <w:t>230</w:t>
            </w:r>
          </w:p>
        </w:tc>
        <w:tc>
          <w:tcPr>
            <w:tcW w:w="916" w:type="dxa"/>
            <w:tcBorders>
              <w:left w:val="single" w:sz="2" w:space="0" w:color="808080" w:themeColor="background1" w:themeShade="80"/>
            </w:tcBorders>
            <w:hideMark/>
          </w:tcPr>
          <w:p w:rsidR="00355749" w:rsidRDefault="00355749" w:rsidP="00B05E9E">
            <w:pPr>
              <w:pStyle w:val="NormalWeb"/>
              <w:jc w:val="center"/>
            </w:pPr>
            <w:r>
              <w:t>6.5</w:t>
            </w:r>
          </w:p>
        </w:tc>
      </w:tr>
      <w:tr w:rsidR="006B07A9" w:rsidTr="00566F58">
        <w:tc>
          <w:tcPr>
            <w:tcW w:w="2127" w:type="dxa"/>
            <w:tcBorders>
              <w:right w:val="single" w:sz="2" w:space="0" w:color="808080" w:themeColor="background1" w:themeShade="80"/>
            </w:tcBorders>
            <w:hideMark/>
          </w:tcPr>
          <w:p w:rsidR="00355749" w:rsidRDefault="00355749">
            <w:pPr>
              <w:pStyle w:val="NormalWeb"/>
            </w:pPr>
            <w:r>
              <w:t>Qld</w:t>
            </w:r>
          </w:p>
        </w:tc>
        <w:tc>
          <w:tcPr>
            <w:tcW w:w="915" w:type="dxa"/>
            <w:tcBorders>
              <w:left w:val="single" w:sz="2" w:space="0" w:color="808080" w:themeColor="background1" w:themeShade="80"/>
              <w:right w:val="single" w:sz="2" w:space="0" w:color="808080" w:themeColor="background1" w:themeShade="80"/>
            </w:tcBorders>
            <w:hideMark/>
          </w:tcPr>
          <w:p w:rsidR="00355749" w:rsidRDefault="00355749" w:rsidP="00B05E9E">
            <w:pPr>
              <w:pStyle w:val="NormalWeb"/>
              <w:jc w:val="center"/>
            </w:pPr>
            <w:r>
              <w:t>15</w:t>
            </w:r>
          </w:p>
        </w:tc>
        <w:tc>
          <w:tcPr>
            <w:tcW w:w="915" w:type="dxa"/>
            <w:tcBorders>
              <w:left w:val="single" w:sz="2" w:space="0" w:color="808080" w:themeColor="background1" w:themeShade="80"/>
              <w:right w:val="single" w:sz="2" w:space="0" w:color="808080" w:themeColor="background1" w:themeShade="80"/>
            </w:tcBorders>
            <w:hideMark/>
          </w:tcPr>
          <w:p w:rsidR="00355749" w:rsidRDefault="00355749" w:rsidP="00B05E9E">
            <w:pPr>
              <w:pStyle w:val="NormalWeb"/>
              <w:jc w:val="center"/>
            </w:pPr>
            <w:r>
              <w:t>2.1</w:t>
            </w:r>
          </w:p>
        </w:tc>
        <w:tc>
          <w:tcPr>
            <w:tcW w:w="915" w:type="dxa"/>
            <w:tcBorders>
              <w:left w:val="single" w:sz="2" w:space="0" w:color="808080" w:themeColor="background1" w:themeShade="80"/>
              <w:right w:val="single" w:sz="2" w:space="0" w:color="808080" w:themeColor="background1" w:themeShade="80"/>
            </w:tcBorders>
            <w:hideMark/>
          </w:tcPr>
          <w:p w:rsidR="00355749" w:rsidRDefault="00355749" w:rsidP="00B05E9E">
            <w:pPr>
              <w:pStyle w:val="NormalWeb"/>
              <w:jc w:val="center"/>
            </w:pPr>
            <w:r>
              <w:t>38</w:t>
            </w:r>
          </w:p>
        </w:tc>
        <w:tc>
          <w:tcPr>
            <w:tcW w:w="915" w:type="dxa"/>
            <w:tcBorders>
              <w:left w:val="single" w:sz="2" w:space="0" w:color="808080" w:themeColor="background1" w:themeShade="80"/>
              <w:right w:val="single" w:sz="2" w:space="0" w:color="808080" w:themeColor="background1" w:themeShade="80"/>
            </w:tcBorders>
            <w:hideMark/>
          </w:tcPr>
          <w:p w:rsidR="00355749" w:rsidRDefault="00355749" w:rsidP="00B05E9E">
            <w:pPr>
              <w:pStyle w:val="NormalWeb"/>
              <w:jc w:val="center"/>
            </w:pPr>
            <w:r>
              <w:t>5.7</w:t>
            </w:r>
          </w:p>
        </w:tc>
        <w:tc>
          <w:tcPr>
            <w:tcW w:w="916" w:type="dxa"/>
            <w:tcBorders>
              <w:left w:val="single" w:sz="2" w:space="0" w:color="808080" w:themeColor="background1" w:themeShade="80"/>
              <w:right w:val="single" w:sz="2" w:space="0" w:color="808080" w:themeColor="background1" w:themeShade="80"/>
            </w:tcBorders>
            <w:hideMark/>
          </w:tcPr>
          <w:p w:rsidR="00355749" w:rsidRDefault="00355749" w:rsidP="00B05E9E">
            <w:pPr>
              <w:pStyle w:val="NormalWeb"/>
              <w:jc w:val="center"/>
            </w:pPr>
            <w:r>
              <w:t>23</w:t>
            </w:r>
          </w:p>
        </w:tc>
        <w:tc>
          <w:tcPr>
            <w:tcW w:w="915" w:type="dxa"/>
            <w:tcBorders>
              <w:left w:val="single" w:sz="2" w:space="0" w:color="808080" w:themeColor="background1" w:themeShade="80"/>
              <w:right w:val="single" w:sz="2" w:space="0" w:color="808080" w:themeColor="background1" w:themeShade="80"/>
            </w:tcBorders>
            <w:hideMark/>
          </w:tcPr>
          <w:p w:rsidR="00355749" w:rsidRDefault="00355749" w:rsidP="00B05E9E">
            <w:pPr>
              <w:pStyle w:val="NormalWeb"/>
              <w:jc w:val="center"/>
            </w:pPr>
            <w:r>
              <w:t>3.5</w:t>
            </w:r>
          </w:p>
        </w:tc>
        <w:tc>
          <w:tcPr>
            <w:tcW w:w="915" w:type="dxa"/>
            <w:tcBorders>
              <w:left w:val="single" w:sz="2" w:space="0" w:color="808080" w:themeColor="background1" w:themeShade="80"/>
              <w:right w:val="single" w:sz="2" w:space="0" w:color="808080" w:themeColor="background1" w:themeShade="80"/>
            </w:tcBorders>
            <w:hideMark/>
          </w:tcPr>
          <w:p w:rsidR="00355749" w:rsidRDefault="00355749" w:rsidP="00B05E9E">
            <w:pPr>
              <w:pStyle w:val="NormalWeb"/>
              <w:jc w:val="center"/>
            </w:pPr>
            <w:r>
              <w:t>42</w:t>
            </w:r>
          </w:p>
        </w:tc>
        <w:tc>
          <w:tcPr>
            <w:tcW w:w="915" w:type="dxa"/>
            <w:tcBorders>
              <w:left w:val="single" w:sz="2" w:space="0" w:color="808080" w:themeColor="background1" w:themeShade="80"/>
              <w:right w:val="single" w:sz="2" w:space="0" w:color="808080" w:themeColor="background1" w:themeShade="80"/>
            </w:tcBorders>
            <w:hideMark/>
          </w:tcPr>
          <w:p w:rsidR="00355749" w:rsidRDefault="00355749" w:rsidP="00B05E9E">
            <w:pPr>
              <w:pStyle w:val="NormalWeb"/>
              <w:jc w:val="center"/>
            </w:pPr>
            <w:r>
              <w:t>5.8</w:t>
            </w:r>
          </w:p>
        </w:tc>
        <w:tc>
          <w:tcPr>
            <w:tcW w:w="915" w:type="dxa"/>
            <w:tcBorders>
              <w:left w:val="single" w:sz="2" w:space="0" w:color="808080" w:themeColor="background1" w:themeShade="80"/>
              <w:right w:val="single" w:sz="2" w:space="0" w:color="808080" w:themeColor="background1" w:themeShade="80"/>
            </w:tcBorders>
            <w:hideMark/>
          </w:tcPr>
          <w:p w:rsidR="00355749" w:rsidRDefault="00355749" w:rsidP="00B05E9E">
            <w:pPr>
              <w:pStyle w:val="NormalWeb"/>
              <w:jc w:val="center"/>
            </w:pPr>
            <w:r>
              <w:t>10</w:t>
            </w:r>
          </w:p>
        </w:tc>
        <w:tc>
          <w:tcPr>
            <w:tcW w:w="916" w:type="dxa"/>
            <w:tcBorders>
              <w:left w:val="single" w:sz="2" w:space="0" w:color="808080" w:themeColor="background1" w:themeShade="80"/>
              <w:right w:val="single" w:sz="2" w:space="0" w:color="808080" w:themeColor="background1" w:themeShade="80"/>
            </w:tcBorders>
            <w:hideMark/>
          </w:tcPr>
          <w:p w:rsidR="00355749" w:rsidRDefault="00355749" w:rsidP="00B05E9E">
            <w:pPr>
              <w:pStyle w:val="NormalWeb"/>
              <w:jc w:val="center"/>
            </w:pPr>
            <w:r>
              <w:t>1.2</w:t>
            </w:r>
          </w:p>
        </w:tc>
        <w:tc>
          <w:tcPr>
            <w:tcW w:w="915" w:type="dxa"/>
            <w:tcBorders>
              <w:left w:val="single" w:sz="2" w:space="0" w:color="808080" w:themeColor="background1" w:themeShade="80"/>
              <w:right w:val="single" w:sz="2" w:space="0" w:color="808080" w:themeColor="background1" w:themeShade="80"/>
            </w:tcBorders>
            <w:hideMark/>
          </w:tcPr>
          <w:p w:rsidR="00355749" w:rsidRDefault="00355749" w:rsidP="00B05E9E">
            <w:pPr>
              <w:pStyle w:val="NormalWeb"/>
              <w:jc w:val="center"/>
            </w:pPr>
            <w:r>
              <w:t>61</w:t>
            </w:r>
          </w:p>
        </w:tc>
        <w:tc>
          <w:tcPr>
            <w:tcW w:w="915" w:type="dxa"/>
            <w:tcBorders>
              <w:left w:val="single" w:sz="2" w:space="0" w:color="808080" w:themeColor="background1" w:themeShade="80"/>
              <w:right w:val="single" w:sz="2" w:space="0" w:color="808080" w:themeColor="background1" w:themeShade="80"/>
            </w:tcBorders>
            <w:hideMark/>
          </w:tcPr>
          <w:p w:rsidR="00355749" w:rsidRDefault="00355749" w:rsidP="00B05E9E">
            <w:pPr>
              <w:pStyle w:val="NormalWeb"/>
              <w:jc w:val="center"/>
            </w:pPr>
            <w:r>
              <w:t>4.9</w:t>
            </w:r>
          </w:p>
        </w:tc>
        <w:tc>
          <w:tcPr>
            <w:tcW w:w="915" w:type="dxa"/>
            <w:tcBorders>
              <w:left w:val="single" w:sz="2" w:space="0" w:color="808080" w:themeColor="background1" w:themeShade="80"/>
              <w:right w:val="single" w:sz="2" w:space="0" w:color="808080" w:themeColor="background1" w:themeShade="80"/>
            </w:tcBorders>
            <w:hideMark/>
          </w:tcPr>
          <w:p w:rsidR="00355749" w:rsidRDefault="00355749" w:rsidP="00B05E9E">
            <w:pPr>
              <w:pStyle w:val="NormalWeb"/>
              <w:jc w:val="center"/>
            </w:pPr>
            <w:r>
              <w:t>68</w:t>
            </w:r>
          </w:p>
        </w:tc>
        <w:tc>
          <w:tcPr>
            <w:tcW w:w="916" w:type="dxa"/>
            <w:tcBorders>
              <w:left w:val="single" w:sz="2" w:space="0" w:color="808080" w:themeColor="background1" w:themeShade="80"/>
            </w:tcBorders>
            <w:hideMark/>
          </w:tcPr>
          <w:p w:rsidR="00355749" w:rsidRDefault="00355749" w:rsidP="00B05E9E">
            <w:pPr>
              <w:pStyle w:val="NormalWeb"/>
              <w:jc w:val="center"/>
            </w:pPr>
            <w:r>
              <w:t>4.9</w:t>
            </w:r>
          </w:p>
        </w:tc>
      </w:tr>
      <w:tr w:rsidR="00B05E9E" w:rsidTr="00566F58">
        <w:trPr>
          <w:cnfStyle w:val="000000010000" w:firstRow="0" w:lastRow="0" w:firstColumn="0" w:lastColumn="0" w:oddVBand="0" w:evenVBand="0" w:oddHBand="0" w:evenHBand="1" w:firstRowFirstColumn="0" w:firstRowLastColumn="0" w:lastRowFirstColumn="0" w:lastRowLastColumn="0"/>
        </w:trPr>
        <w:tc>
          <w:tcPr>
            <w:tcW w:w="2127" w:type="dxa"/>
            <w:tcBorders>
              <w:right w:val="single" w:sz="2" w:space="0" w:color="808080" w:themeColor="background1" w:themeShade="80"/>
            </w:tcBorders>
            <w:hideMark/>
          </w:tcPr>
          <w:p w:rsidR="00355749" w:rsidRDefault="00355749">
            <w:pPr>
              <w:pStyle w:val="NormalWeb"/>
            </w:pPr>
            <w:r>
              <w:t>SA</w:t>
            </w:r>
          </w:p>
        </w:tc>
        <w:tc>
          <w:tcPr>
            <w:tcW w:w="915" w:type="dxa"/>
            <w:tcBorders>
              <w:left w:val="single" w:sz="2" w:space="0" w:color="808080" w:themeColor="background1" w:themeShade="80"/>
              <w:right w:val="single" w:sz="2" w:space="0" w:color="808080" w:themeColor="background1" w:themeShade="80"/>
            </w:tcBorders>
            <w:hideMark/>
          </w:tcPr>
          <w:p w:rsidR="00355749" w:rsidRDefault="00355749" w:rsidP="00B05E9E">
            <w:pPr>
              <w:pStyle w:val="NormalWeb"/>
              <w:jc w:val="center"/>
            </w:pPr>
            <w:r>
              <w:t>1</w:t>
            </w:r>
          </w:p>
        </w:tc>
        <w:tc>
          <w:tcPr>
            <w:tcW w:w="915" w:type="dxa"/>
            <w:tcBorders>
              <w:left w:val="single" w:sz="2" w:space="0" w:color="808080" w:themeColor="background1" w:themeShade="80"/>
              <w:right w:val="single" w:sz="2" w:space="0" w:color="808080" w:themeColor="background1" w:themeShade="80"/>
            </w:tcBorders>
            <w:hideMark/>
          </w:tcPr>
          <w:p w:rsidR="00355749" w:rsidRDefault="00355749" w:rsidP="00B05E9E">
            <w:pPr>
              <w:pStyle w:val="NormalWeb"/>
              <w:jc w:val="center"/>
            </w:pPr>
            <w:r>
              <w:t>0.7</w:t>
            </w:r>
          </w:p>
        </w:tc>
        <w:tc>
          <w:tcPr>
            <w:tcW w:w="915" w:type="dxa"/>
            <w:tcBorders>
              <w:left w:val="single" w:sz="2" w:space="0" w:color="808080" w:themeColor="background1" w:themeShade="80"/>
              <w:right w:val="single" w:sz="2" w:space="0" w:color="808080" w:themeColor="background1" w:themeShade="80"/>
            </w:tcBorders>
            <w:hideMark/>
          </w:tcPr>
          <w:p w:rsidR="00355749" w:rsidRDefault="00355749" w:rsidP="00B05E9E">
            <w:pPr>
              <w:pStyle w:val="NormalWeb"/>
              <w:jc w:val="center"/>
            </w:pPr>
            <w:r>
              <w:t>6</w:t>
            </w:r>
          </w:p>
        </w:tc>
        <w:tc>
          <w:tcPr>
            <w:tcW w:w="915" w:type="dxa"/>
            <w:tcBorders>
              <w:left w:val="single" w:sz="2" w:space="0" w:color="808080" w:themeColor="background1" w:themeShade="80"/>
              <w:right w:val="single" w:sz="2" w:space="0" w:color="808080" w:themeColor="background1" w:themeShade="80"/>
            </w:tcBorders>
            <w:hideMark/>
          </w:tcPr>
          <w:p w:rsidR="00355749" w:rsidRDefault="00355749" w:rsidP="00B05E9E">
            <w:pPr>
              <w:pStyle w:val="NormalWeb"/>
              <w:jc w:val="center"/>
            </w:pPr>
            <w:r>
              <w:t>2.8</w:t>
            </w:r>
          </w:p>
        </w:tc>
        <w:tc>
          <w:tcPr>
            <w:tcW w:w="916" w:type="dxa"/>
            <w:tcBorders>
              <w:left w:val="single" w:sz="2" w:space="0" w:color="808080" w:themeColor="background1" w:themeShade="80"/>
              <w:right w:val="single" w:sz="2" w:space="0" w:color="808080" w:themeColor="background1" w:themeShade="80"/>
            </w:tcBorders>
            <w:hideMark/>
          </w:tcPr>
          <w:p w:rsidR="00355749" w:rsidRDefault="00355749" w:rsidP="00B05E9E">
            <w:pPr>
              <w:pStyle w:val="NormalWeb"/>
              <w:jc w:val="center"/>
            </w:pPr>
            <w:r>
              <w:t>1</w:t>
            </w:r>
          </w:p>
        </w:tc>
        <w:tc>
          <w:tcPr>
            <w:tcW w:w="915" w:type="dxa"/>
            <w:tcBorders>
              <w:left w:val="single" w:sz="2" w:space="0" w:color="808080" w:themeColor="background1" w:themeShade="80"/>
              <w:right w:val="single" w:sz="2" w:space="0" w:color="808080" w:themeColor="background1" w:themeShade="80"/>
            </w:tcBorders>
            <w:hideMark/>
          </w:tcPr>
          <w:p w:rsidR="00355749" w:rsidRDefault="00355749" w:rsidP="00B05E9E">
            <w:pPr>
              <w:pStyle w:val="NormalWeb"/>
              <w:jc w:val="center"/>
            </w:pPr>
            <w:r>
              <w:t>0.5</w:t>
            </w:r>
          </w:p>
        </w:tc>
        <w:tc>
          <w:tcPr>
            <w:tcW w:w="915" w:type="dxa"/>
            <w:tcBorders>
              <w:left w:val="single" w:sz="2" w:space="0" w:color="808080" w:themeColor="background1" w:themeShade="80"/>
              <w:right w:val="single" w:sz="2" w:space="0" w:color="808080" w:themeColor="background1" w:themeShade="80"/>
            </w:tcBorders>
            <w:hideMark/>
          </w:tcPr>
          <w:p w:rsidR="00355749" w:rsidRDefault="00355749" w:rsidP="00B05E9E">
            <w:pPr>
              <w:pStyle w:val="NormalWeb"/>
              <w:jc w:val="center"/>
            </w:pPr>
            <w:r>
              <w:t>7</w:t>
            </w:r>
          </w:p>
        </w:tc>
        <w:tc>
          <w:tcPr>
            <w:tcW w:w="915" w:type="dxa"/>
            <w:tcBorders>
              <w:left w:val="single" w:sz="2" w:space="0" w:color="808080" w:themeColor="background1" w:themeShade="80"/>
              <w:right w:val="single" w:sz="2" w:space="0" w:color="808080" w:themeColor="background1" w:themeShade="80"/>
            </w:tcBorders>
            <w:hideMark/>
          </w:tcPr>
          <w:p w:rsidR="00355749" w:rsidRDefault="00355749" w:rsidP="00B05E9E">
            <w:pPr>
              <w:pStyle w:val="NormalWeb"/>
              <w:jc w:val="center"/>
            </w:pPr>
            <w:r>
              <w:t>2.8</w:t>
            </w:r>
          </w:p>
        </w:tc>
        <w:tc>
          <w:tcPr>
            <w:tcW w:w="915" w:type="dxa"/>
            <w:tcBorders>
              <w:left w:val="single" w:sz="2" w:space="0" w:color="808080" w:themeColor="background1" w:themeShade="80"/>
              <w:right w:val="single" w:sz="2" w:space="0" w:color="808080" w:themeColor="background1" w:themeShade="80"/>
            </w:tcBorders>
            <w:hideMark/>
          </w:tcPr>
          <w:p w:rsidR="00355749" w:rsidRDefault="00355749" w:rsidP="00B05E9E">
            <w:pPr>
              <w:pStyle w:val="NormalWeb"/>
              <w:jc w:val="center"/>
            </w:pPr>
            <w:r>
              <w:t>68</w:t>
            </w:r>
          </w:p>
        </w:tc>
        <w:tc>
          <w:tcPr>
            <w:tcW w:w="916" w:type="dxa"/>
            <w:tcBorders>
              <w:left w:val="single" w:sz="2" w:space="0" w:color="808080" w:themeColor="background1" w:themeShade="80"/>
              <w:right w:val="single" w:sz="2" w:space="0" w:color="808080" w:themeColor="background1" w:themeShade="80"/>
            </w:tcBorders>
            <w:hideMark/>
          </w:tcPr>
          <w:p w:rsidR="00355749" w:rsidRDefault="00355749" w:rsidP="00B05E9E">
            <w:pPr>
              <w:pStyle w:val="NormalWeb"/>
              <w:jc w:val="center"/>
            </w:pPr>
            <w:r>
              <w:t>19.5</w:t>
            </w:r>
          </w:p>
        </w:tc>
        <w:tc>
          <w:tcPr>
            <w:tcW w:w="915" w:type="dxa"/>
            <w:tcBorders>
              <w:left w:val="single" w:sz="2" w:space="0" w:color="808080" w:themeColor="background1" w:themeShade="80"/>
              <w:right w:val="single" w:sz="2" w:space="0" w:color="808080" w:themeColor="background1" w:themeShade="80"/>
            </w:tcBorders>
            <w:hideMark/>
          </w:tcPr>
          <w:p w:rsidR="00355749" w:rsidRDefault="00355749" w:rsidP="00B05E9E">
            <w:pPr>
              <w:pStyle w:val="NormalWeb"/>
              <w:jc w:val="center"/>
            </w:pPr>
            <w:r>
              <w:t>46</w:t>
            </w:r>
          </w:p>
        </w:tc>
        <w:tc>
          <w:tcPr>
            <w:tcW w:w="915" w:type="dxa"/>
            <w:tcBorders>
              <w:left w:val="single" w:sz="2" w:space="0" w:color="808080" w:themeColor="background1" w:themeShade="80"/>
              <w:right w:val="single" w:sz="2" w:space="0" w:color="808080" w:themeColor="background1" w:themeShade="80"/>
            </w:tcBorders>
            <w:hideMark/>
          </w:tcPr>
          <w:p w:rsidR="00355749" w:rsidRDefault="00355749" w:rsidP="00B05E9E">
            <w:pPr>
              <w:pStyle w:val="NormalWeb"/>
              <w:jc w:val="center"/>
            </w:pPr>
            <w:r>
              <w:t>12.8</w:t>
            </w:r>
          </w:p>
        </w:tc>
        <w:tc>
          <w:tcPr>
            <w:tcW w:w="915" w:type="dxa"/>
            <w:tcBorders>
              <w:left w:val="single" w:sz="2" w:space="0" w:color="808080" w:themeColor="background1" w:themeShade="80"/>
              <w:right w:val="single" w:sz="2" w:space="0" w:color="808080" w:themeColor="background1" w:themeShade="80"/>
            </w:tcBorders>
            <w:hideMark/>
          </w:tcPr>
          <w:p w:rsidR="00355749" w:rsidRDefault="00355749" w:rsidP="00B05E9E">
            <w:pPr>
              <w:pStyle w:val="NormalWeb"/>
              <w:jc w:val="center"/>
            </w:pPr>
            <w:r>
              <w:t>7</w:t>
            </w:r>
          </w:p>
        </w:tc>
        <w:tc>
          <w:tcPr>
            <w:tcW w:w="916" w:type="dxa"/>
            <w:tcBorders>
              <w:left w:val="single" w:sz="2" w:space="0" w:color="808080" w:themeColor="background1" w:themeShade="80"/>
            </w:tcBorders>
            <w:hideMark/>
          </w:tcPr>
          <w:p w:rsidR="00355749" w:rsidRDefault="00355749" w:rsidP="00B05E9E">
            <w:pPr>
              <w:pStyle w:val="NormalWeb"/>
              <w:jc w:val="center"/>
            </w:pPr>
            <w:r>
              <w:t>3.0</w:t>
            </w:r>
          </w:p>
        </w:tc>
      </w:tr>
      <w:tr w:rsidR="006B07A9" w:rsidTr="00566F58">
        <w:tc>
          <w:tcPr>
            <w:tcW w:w="2127" w:type="dxa"/>
            <w:tcBorders>
              <w:right w:val="single" w:sz="2" w:space="0" w:color="808080" w:themeColor="background1" w:themeShade="80"/>
            </w:tcBorders>
            <w:hideMark/>
          </w:tcPr>
          <w:p w:rsidR="00355749" w:rsidRDefault="00355749">
            <w:pPr>
              <w:pStyle w:val="NormalWeb"/>
            </w:pPr>
            <w:r>
              <w:t>Tas</w:t>
            </w:r>
          </w:p>
        </w:tc>
        <w:tc>
          <w:tcPr>
            <w:tcW w:w="915" w:type="dxa"/>
            <w:tcBorders>
              <w:left w:val="single" w:sz="2" w:space="0" w:color="808080" w:themeColor="background1" w:themeShade="80"/>
              <w:right w:val="single" w:sz="2" w:space="0" w:color="808080" w:themeColor="background1" w:themeShade="80"/>
            </w:tcBorders>
            <w:hideMark/>
          </w:tcPr>
          <w:p w:rsidR="00355749" w:rsidRDefault="00355749" w:rsidP="00B05E9E">
            <w:pPr>
              <w:pStyle w:val="NormalWeb"/>
              <w:jc w:val="center"/>
            </w:pPr>
            <w:r>
              <w:t>0</w:t>
            </w:r>
          </w:p>
        </w:tc>
        <w:tc>
          <w:tcPr>
            <w:tcW w:w="915" w:type="dxa"/>
            <w:tcBorders>
              <w:left w:val="single" w:sz="2" w:space="0" w:color="808080" w:themeColor="background1" w:themeShade="80"/>
              <w:right w:val="single" w:sz="2" w:space="0" w:color="808080" w:themeColor="background1" w:themeShade="80"/>
            </w:tcBorders>
            <w:hideMark/>
          </w:tcPr>
          <w:p w:rsidR="00355749" w:rsidRDefault="00355749" w:rsidP="00B05E9E">
            <w:pPr>
              <w:pStyle w:val="NormalWeb"/>
              <w:jc w:val="center"/>
            </w:pPr>
            <w:r>
              <w:t>0</w:t>
            </w:r>
          </w:p>
        </w:tc>
        <w:tc>
          <w:tcPr>
            <w:tcW w:w="915" w:type="dxa"/>
            <w:tcBorders>
              <w:left w:val="single" w:sz="2" w:space="0" w:color="808080" w:themeColor="background1" w:themeShade="80"/>
              <w:right w:val="single" w:sz="2" w:space="0" w:color="808080" w:themeColor="background1" w:themeShade="80"/>
            </w:tcBorders>
            <w:hideMark/>
          </w:tcPr>
          <w:p w:rsidR="00355749" w:rsidRDefault="00355749" w:rsidP="00B05E9E">
            <w:pPr>
              <w:pStyle w:val="NormalWeb"/>
              <w:jc w:val="center"/>
            </w:pPr>
            <w:r>
              <w:t>0</w:t>
            </w:r>
          </w:p>
        </w:tc>
        <w:tc>
          <w:tcPr>
            <w:tcW w:w="915" w:type="dxa"/>
            <w:tcBorders>
              <w:left w:val="single" w:sz="2" w:space="0" w:color="808080" w:themeColor="background1" w:themeShade="80"/>
              <w:right w:val="single" w:sz="2" w:space="0" w:color="808080" w:themeColor="background1" w:themeShade="80"/>
            </w:tcBorders>
            <w:hideMark/>
          </w:tcPr>
          <w:p w:rsidR="00355749" w:rsidRDefault="00355749" w:rsidP="00B05E9E">
            <w:pPr>
              <w:pStyle w:val="NormalWeb"/>
              <w:jc w:val="center"/>
            </w:pPr>
            <w:r>
              <w:t>0</w:t>
            </w:r>
          </w:p>
        </w:tc>
        <w:tc>
          <w:tcPr>
            <w:tcW w:w="916" w:type="dxa"/>
            <w:tcBorders>
              <w:left w:val="single" w:sz="2" w:space="0" w:color="808080" w:themeColor="background1" w:themeShade="80"/>
              <w:right w:val="single" w:sz="2" w:space="0" w:color="808080" w:themeColor="background1" w:themeShade="80"/>
            </w:tcBorders>
            <w:hideMark/>
          </w:tcPr>
          <w:p w:rsidR="00355749" w:rsidRDefault="00355749" w:rsidP="00B05E9E">
            <w:pPr>
              <w:pStyle w:val="NormalWeb"/>
              <w:jc w:val="center"/>
            </w:pPr>
            <w:r>
              <w:t>1</w:t>
            </w:r>
          </w:p>
        </w:tc>
        <w:tc>
          <w:tcPr>
            <w:tcW w:w="915" w:type="dxa"/>
            <w:tcBorders>
              <w:left w:val="single" w:sz="2" w:space="0" w:color="808080" w:themeColor="background1" w:themeShade="80"/>
              <w:right w:val="single" w:sz="2" w:space="0" w:color="808080" w:themeColor="background1" w:themeShade="80"/>
            </w:tcBorders>
            <w:hideMark/>
          </w:tcPr>
          <w:p w:rsidR="00355749" w:rsidRDefault="00355749" w:rsidP="00B05E9E">
            <w:pPr>
              <w:pStyle w:val="NormalWeb"/>
              <w:jc w:val="center"/>
            </w:pPr>
            <w:r>
              <w:t>3.3</w:t>
            </w:r>
          </w:p>
        </w:tc>
        <w:tc>
          <w:tcPr>
            <w:tcW w:w="915" w:type="dxa"/>
            <w:tcBorders>
              <w:left w:val="single" w:sz="2" w:space="0" w:color="808080" w:themeColor="background1" w:themeShade="80"/>
              <w:right w:val="single" w:sz="2" w:space="0" w:color="808080" w:themeColor="background1" w:themeShade="80"/>
            </w:tcBorders>
            <w:hideMark/>
          </w:tcPr>
          <w:p w:rsidR="00355749" w:rsidRDefault="00355749" w:rsidP="00B05E9E">
            <w:pPr>
              <w:pStyle w:val="NormalWeb"/>
              <w:jc w:val="center"/>
            </w:pPr>
            <w:r>
              <w:t>1</w:t>
            </w:r>
          </w:p>
        </w:tc>
        <w:tc>
          <w:tcPr>
            <w:tcW w:w="915" w:type="dxa"/>
            <w:tcBorders>
              <w:left w:val="single" w:sz="2" w:space="0" w:color="808080" w:themeColor="background1" w:themeShade="80"/>
              <w:right w:val="single" w:sz="2" w:space="0" w:color="808080" w:themeColor="background1" w:themeShade="80"/>
            </w:tcBorders>
            <w:hideMark/>
          </w:tcPr>
          <w:p w:rsidR="00355749" w:rsidRDefault="00355749" w:rsidP="00B05E9E">
            <w:pPr>
              <w:pStyle w:val="NormalWeb"/>
              <w:jc w:val="center"/>
            </w:pPr>
            <w:r>
              <w:t>4.3</w:t>
            </w:r>
          </w:p>
        </w:tc>
        <w:tc>
          <w:tcPr>
            <w:tcW w:w="915" w:type="dxa"/>
            <w:tcBorders>
              <w:left w:val="single" w:sz="2" w:space="0" w:color="808080" w:themeColor="background1" w:themeShade="80"/>
              <w:right w:val="single" w:sz="2" w:space="0" w:color="808080" w:themeColor="background1" w:themeShade="80"/>
            </w:tcBorders>
            <w:hideMark/>
          </w:tcPr>
          <w:p w:rsidR="00355749" w:rsidRDefault="00355749" w:rsidP="00B05E9E">
            <w:pPr>
              <w:pStyle w:val="NormalWeb"/>
              <w:jc w:val="center"/>
            </w:pPr>
            <w:r>
              <w:t>4</w:t>
            </w:r>
          </w:p>
        </w:tc>
        <w:tc>
          <w:tcPr>
            <w:tcW w:w="916" w:type="dxa"/>
            <w:tcBorders>
              <w:left w:val="single" w:sz="2" w:space="0" w:color="808080" w:themeColor="background1" w:themeShade="80"/>
              <w:right w:val="single" w:sz="2" w:space="0" w:color="808080" w:themeColor="background1" w:themeShade="80"/>
            </w:tcBorders>
            <w:hideMark/>
          </w:tcPr>
          <w:p w:rsidR="00355749" w:rsidRDefault="00355749" w:rsidP="00B05E9E">
            <w:pPr>
              <w:pStyle w:val="NormalWeb"/>
              <w:jc w:val="center"/>
            </w:pPr>
            <w:r>
              <w:t>14.3</w:t>
            </w:r>
          </w:p>
        </w:tc>
        <w:tc>
          <w:tcPr>
            <w:tcW w:w="915" w:type="dxa"/>
            <w:tcBorders>
              <w:left w:val="single" w:sz="2" w:space="0" w:color="808080" w:themeColor="background1" w:themeShade="80"/>
              <w:right w:val="single" w:sz="2" w:space="0" w:color="808080" w:themeColor="background1" w:themeShade="80"/>
            </w:tcBorders>
            <w:hideMark/>
          </w:tcPr>
          <w:p w:rsidR="00355749" w:rsidRDefault="00355749" w:rsidP="00B05E9E">
            <w:pPr>
              <w:pStyle w:val="NormalWeb"/>
              <w:jc w:val="center"/>
            </w:pPr>
            <w:r>
              <w:t>5</w:t>
            </w:r>
          </w:p>
        </w:tc>
        <w:tc>
          <w:tcPr>
            <w:tcW w:w="915" w:type="dxa"/>
            <w:tcBorders>
              <w:left w:val="single" w:sz="2" w:space="0" w:color="808080" w:themeColor="background1" w:themeShade="80"/>
              <w:right w:val="single" w:sz="2" w:space="0" w:color="808080" w:themeColor="background1" w:themeShade="80"/>
            </w:tcBorders>
            <w:hideMark/>
          </w:tcPr>
          <w:p w:rsidR="00355749" w:rsidRDefault="00355749" w:rsidP="00B05E9E">
            <w:pPr>
              <w:pStyle w:val="NormalWeb"/>
              <w:jc w:val="center"/>
            </w:pPr>
            <w:r>
              <w:t>9</w:t>
            </w:r>
          </w:p>
        </w:tc>
        <w:tc>
          <w:tcPr>
            <w:tcW w:w="915" w:type="dxa"/>
            <w:tcBorders>
              <w:left w:val="single" w:sz="2" w:space="0" w:color="808080" w:themeColor="background1" w:themeShade="80"/>
              <w:right w:val="single" w:sz="2" w:space="0" w:color="808080" w:themeColor="background1" w:themeShade="80"/>
            </w:tcBorders>
            <w:hideMark/>
          </w:tcPr>
          <w:p w:rsidR="00355749" w:rsidRDefault="00355749" w:rsidP="00B05E9E">
            <w:pPr>
              <w:pStyle w:val="NormalWeb"/>
              <w:jc w:val="center"/>
            </w:pPr>
            <w:r>
              <w:t>3</w:t>
            </w:r>
          </w:p>
        </w:tc>
        <w:tc>
          <w:tcPr>
            <w:tcW w:w="916" w:type="dxa"/>
            <w:tcBorders>
              <w:left w:val="single" w:sz="2" w:space="0" w:color="808080" w:themeColor="background1" w:themeShade="80"/>
            </w:tcBorders>
            <w:hideMark/>
          </w:tcPr>
          <w:p w:rsidR="00355749" w:rsidRDefault="00355749" w:rsidP="00B05E9E">
            <w:pPr>
              <w:pStyle w:val="NormalWeb"/>
              <w:jc w:val="center"/>
            </w:pPr>
            <w:r>
              <w:t>6</w:t>
            </w:r>
          </w:p>
        </w:tc>
      </w:tr>
      <w:tr w:rsidR="00B05E9E" w:rsidTr="00566F58">
        <w:trPr>
          <w:cnfStyle w:val="000000010000" w:firstRow="0" w:lastRow="0" w:firstColumn="0" w:lastColumn="0" w:oddVBand="0" w:evenVBand="0" w:oddHBand="0" w:evenHBand="1" w:firstRowFirstColumn="0" w:firstRowLastColumn="0" w:lastRowFirstColumn="0" w:lastRowLastColumn="0"/>
        </w:trPr>
        <w:tc>
          <w:tcPr>
            <w:tcW w:w="2127" w:type="dxa"/>
            <w:tcBorders>
              <w:right w:val="single" w:sz="2" w:space="0" w:color="808080" w:themeColor="background1" w:themeShade="80"/>
            </w:tcBorders>
            <w:hideMark/>
          </w:tcPr>
          <w:p w:rsidR="00355749" w:rsidRDefault="00355749">
            <w:pPr>
              <w:pStyle w:val="NormalWeb"/>
            </w:pPr>
            <w:r>
              <w:t>Vic</w:t>
            </w:r>
          </w:p>
        </w:tc>
        <w:tc>
          <w:tcPr>
            <w:tcW w:w="915" w:type="dxa"/>
            <w:tcBorders>
              <w:left w:val="single" w:sz="2" w:space="0" w:color="808080" w:themeColor="background1" w:themeShade="80"/>
              <w:right w:val="single" w:sz="2" w:space="0" w:color="808080" w:themeColor="background1" w:themeShade="80"/>
            </w:tcBorders>
            <w:hideMark/>
          </w:tcPr>
          <w:p w:rsidR="00355749" w:rsidRDefault="00355749" w:rsidP="00B05E9E">
            <w:pPr>
              <w:pStyle w:val="NormalWeb"/>
              <w:jc w:val="center"/>
            </w:pPr>
            <w:r>
              <w:t>34</w:t>
            </w:r>
          </w:p>
        </w:tc>
        <w:tc>
          <w:tcPr>
            <w:tcW w:w="915" w:type="dxa"/>
            <w:tcBorders>
              <w:left w:val="single" w:sz="2" w:space="0" w:color="808080" w:themeColor="background1" w:themeShade="80"/>
              <w:right w:val="single" w:sz="2" w:space="0" w:color="808080" w:themeColor="background1" w:themeShade="80"/>
            </w:tcBorders>
            <w:hideMark/>
          </w:tcPr>
          <w:p w:rsidR="00355749" w:rsidRDefault="00355749" w:rsidP="00B05E9E">
            <w:pPr>
              <w:pStyle w:val="NormalWeb"/>
              <w:jc w:val="center"/>
            </w:pPr>
            <w:r>
              <w:t>2.7</w:t>
            </w:r>
          </w:p>
        </w:tc>
        <w:tc>
          <w:tcPr>
            <w:tcW w:w="915" w:type="dxa"/>
            <w:tcBorders>
              <w:left w:val="single" w:sz="2" w:space="0" w:color="808080" w:themeColor="background1" w:themeShade="80"/>
              <w:right w:val="single" w:sz="2" w:space="0" w:color="808080" w:themeColor="background1" w:themeShade="80"/>
            </w:tcBorders>
            <w:hideMark/>
          </w:tcPr>
          <w:p w:rsidR="00355749" w:rsidRDefault="00355749" w:rsidP="00B05E9E">
            <w:pPr>
              <w:pStyle w:val="NormalWeb"/>
              <w:jc w:val="center"/>
            </w:pPr>
            <w:r>
              <w:t>35</w:t>
            </w:r>
          </w:p>
        </w:tc>
        <w:tc>
          <w:tcPr>
            <w:tcW w:w="915" w:type="dxa"/>
            <w:tcBorders>
              <w:left w:val="single" w:sz="2" w:space="0" w:color="808080" w:themeColor="background1" w:themeShade="80"/>
              <w:right w:val="single" w:sz="2" w:space="0" w:color="808080" w:themeColor="background1" w:themeShade="80"/>
            </w:tcBorders>
            <w:hideMark/>
          </w:tcPr>
          <w:p w:rsidR="00355749" w:rsidRDefault="00355749" w:rsidP="00B05E9E">
            <w:pPr>
              <w:pStyle w:val="NormalWeb"/>
              <w:jc w:val="center"/>
            </w:pPr>
            <w:r>
              <w:t>2.3</w:t>
            </w:r>
          </w:p>
        </w:tc>
        <w:tc>
          <w:tcPr>
            <w:tcW w:w="916" w:type="dxa"/>
            <w:tcBorders>
              <w:left w:val="single" w:sz="2" w:space="0" w:color="808080" w:themeColor="background1" w:themeShade="80"/>
              <w:right w:val="single" w:sz="2" w:space="0" w:color="808080" w:themeColor="background1" w:themeShade="80"/>
            </w:tcBorders>
            <w:hideMark/>
          </w:tcPr>
          <w:p w:rsidR="00355749" w:rsidRDefault="00355749" w:rsidP="00B05E9E">
            <w:pPr>
              <w:pStyle w:val="NormalWeb"/>
              <w:jc w:val="center"/>
            </w:pPr>
            <w:r>
              <w:t>33</w:t>
            </w:r>
          </w:p>
        </w:tc>
        <w:tc>
          <w:tcPr>
            <w:tcW w:w="915" w:type="dxa"/>
            <w:tcBorders>
              <w:left w:val="single" w:sz="2" w:space="0" w:color="808080" w:themeColor="background1" w:themeShade="80"/>
              <w:right w:val="single" w:sz="2" w:space="0" w:color="808080" w:themeColor="background1" w:themeShade="80"/>
            </w:tcBorders>
            <w:hideMark/>
          </w:tcPr>
          <w:p w:rsidR="00355749" w:rsidRDefault="00355749" w:rsidP="00B05E9E">
            <w:pPr>
              <w:pStyle w:val="NormalWeb"/>
              <w:jc w:val="center"/>
            </w:pPr>
            <w:r>
              <w:t>2.3</w:t>
            </w:r>
          </w:p>
        </w:tc>
        <w:tc>
          <w:tcPr>
            <w:tcW w:w="915" w:type="dxa"/>
            <w:tcBorders>
              <w:left w:val="single" w:sz="2" w:space="0" w:color="808080" w:themeColor="background1" w:themeShade="80"/>
              <w:right w:val="single" w:sz="2" w:space="0" w:color="808080" w:themeColor="background1" w:themeShade="80"/>
            </w:tcBorders>
            <w:hideMark/>
          </w:tcPr>
          <w:p w:rsidR="00355749" w:rsidRDefault="00355749" w:rsidP="00B05E9E">
            <w:pPr>
              <w:pStyle w:val="NormalWeb"/>
              <w:jc w:val="center"/>
            </w:pPr>
            <w:r>
              <w:t>30</w:t>
            </w:r>
          </w:p>
        </w:tc>
        <w:tc>
          <w:tcPr>
            <w:tcW w:w="915" w:type="dxa"/>
            <w:tcBorders>
              <w:left w:val="single" w:sz="2" w:space="0" w:color="808080" w:themeColor="background1" w:themeShade="80"/>
              <w:right w:val="single" w:sz="2" w:space="0" w:color="808080" w:themeColor="background1" w:themeShade="80"/>
            </w:tcBorders>
            <w:hideMark/>
          </w:tcPr>
          <w:p w:rsidR="00355749" w:rsidRDefault="00355749" w:rsidP="00B05E9E">
            <w:pPr>
              <w:pStyle w:val="NormalWeb"/>
              <w:jc w:val="center"/>
            </w:pPr>
            <w:r>
              <w:t>1.8</w:t>
            </w:r>
          </w:p>
        </w:tc>
        <w:tc>
          <w:tcPr>
            <w:tcW w:w="915" w:type="dxa"/>
            <w:tcBorders>
              <w:left w:val="single" w:sz="2" w:space="0" w:color="808080" w:themeColor="background1" w:themeShade="80"/>
              <w:right w:val="single" w:sz="2" w:space="0" w:color="808080" w:themeColor="background1" w:themeShade="80"/>
            </w:tcBorders>
            <w:hideMark/>
          </w:tcPr>
          <w:p w:rsidR="00355749" w:rsidRDefault="00355749" w:rsidP="00B05E9E">
            <w:pPr>
              <w:pStyle w:val="NormalWeb"/>
              <w:jc w:val="center"/>
            </w:pPr>
            <w:r>
              <w:t>93</w:t>
            </w:r>
          </w:p>
        </w:tc>
        <w:tc>
          <w:tcPr>
            <w:tcW w:w="916" w:type="dxa"/>
            <w:tcBorders>
              <w:left w:val="single" w:sz="2" w:space="0" w:color="808080" w:themeColor="background1" w:themeShade="80"/>
              <w:right w:val="single" w:sz="2" w:space="0" w:color="808080" w:themeColor="background1" w:themeShade="80"/>
            </w:tcBorders>
            <w:hideMark/>
          </w:tcPr>
          <w:p w:rsidR="00355749" w:rsidRDefault="00355749" w:rsidP="00B05E9E">
            <w:pPr>
              <w:pStyle w:val="NormalWeb"/>
              <w:jc w:val="center"/>
            </w:pPr>
            <w:r>
              <w:t>5.4</w:t>
            </w:r>
          </w:p>
        </w:tc>
        <w:tc>
          <w:tcPr>
            <w:tcW w:w="915" w:type="dxa"/>
            <w:tcBorders>
              <w:left w:val="single" w:sz="2" w:space="0" w:color="808080" w:themeColor="background1" w:themeShade="80"/>
              <w:right w:val="single" w:sz="2" w:space="0" w:color="808080" w:themeColor="background1" w:themeShade="80"/>
            </w:tcBorders>
            <w:hideMark/>
          </w:tcPr>
          <w:p w:rsidR="00355749" w:rsidRDefault="00355749" w:rsidP="00B05E9E">
            <w:pPr>
              <w:pStyle w:val="NormalWeb"/>
              <w:jc w:val="center"/>
            </w:pPr>
            <w:r>
              <w:t>304</w:t>
            </w:r>
          </w:p>
        </w:tc>
        <w:tc>
          <w:tcPr>
            <w:tcW w:w="915" w:type="dxa"/>
            <w:tcBorders>
              <w:left w:val="single" w:sz="2" w:space="0" w:color="808080" w:themeColor="background1" w:themeShade="80"/>
              <w:right w:val="single" w:sz="2" w:space="0" w:color="808080" w:themeColor="background1" w:themeShade="80"/>
            </w:tcBorders>
            <w:hideMark/>
          </w:tcPr>
          <w:p w:rsidR="00355749" w:rsidRDefault="00355749" w:rsidP="00B05E9E">
            <w:pPr>
              <w:pStyle w:val="NormalWeb"/>
              <w:jc w:val="center"/>
            </w:pPr>
            <w:r>
              <w:t>13.5</w:t>
            </w:r>
          </w:p>
        </w:tc>
        <w:tc>
          <w:tcPr>
            <w:tcW w:w="915" w:type="dxa"/>
            <w:tcBorders>
              <w:left w:val="single" w:sz="2" w:space="0" w:color="808080" w:themeColor="background1" w:themeShade="80"/>
              <w:right w:val="single" w:sz="2" w:space="0" w:color="808080" w:themeColor="background1" w:themeShade="80"/>
            </w:tcBorders>
            <w:hideMark/>
          </w:tcPr>
          <w:p w:rsidR="00355749" w:rsidRDefault="00355749" w:rsidP="00B05E9E">
            <w:pPr>
              <w:pStyle w:val="NormalWeb"/>
              <w:jc w:val="center"/>
            </w:pPr>
            <w:r>
              <w:t>217</w:t>
            </w:r>
          </w:p>
        </w:tc>
        <w:tc>
          <w:tcPr>
            <w:tcW w:w="916" w:type="dxa"/>
            <w:tcBorders>
              <w:left w:val="single" w:sz="2" w:space="0" w:color="808080" w:themeColor="background1" w:themeShade="80"/>
            </w:tcBorders>
            <w:hideMark/>
          </w:tcPr>
          <w:p w:rsidR="00355749" w:rsidRDefault="00355749" w:rsidP="00B05E9E">
            <w:pPr>
              <w:pStyle w:val="NormalWeb"/>
              <w:jc w:val="center"/>
            </w:pPr>
            <w:r>
              <w:t>8.3</w:t>
            </w:r>
          </w:p>
        </w:tc>
      </w:tr>
      <w:tr w:rsidR="006B07A9" w:rsidTr="00566F58">
        <w:tc>
          <w:tcPr>
            <w:tcW w:w="2127" w:type="dxa"/>
            <w:tcBorders>
              <w:right w:val="single" w:sz="2" w:space="0" w:color="808080" w:themeColor="background1" w:themeShade="80"/>
            </w:tcBorders>
            <w:hideMark/>
          </w:tcPr>
          <w:p w:rsidR="00355749" w:rsidRDefault="00C61158">
            <w:pPr>
              <w:pStyle w:val="NormalWeb"/>
            </w:pPr>
            <w:r>
              <w:t xml:space="preserve">NT </w:t>
            </w:r>
            <w:r w:rsidR="00355749">
              <w:t>Urban &amp; Rural</w:t>
            </w:r>
          </w:p>
        </w:tc>
        <w:tc>
          <w:tcPr>
            <w:tcW w:w="915" w:type="dxa"/>
            <w:tcBorders>
              <w:left w:val="single" w:sz="2" w:space="0" w:color="808080" w:themeColor="background1" w:themeShade="80"/>
              <w:right w:val="single" w:sz="2" w:space="0" w:color="808080" w:themeColor="background1" w:themeShade="80"/>
            </w:tcBorders>
            <w:hideMark/>
          </w:tcPr>
          <w:p w:rsidR="00355749" w:rsidRDefault="00355749" w:rsidP="00B05E9E">
            <w:pPr>
              <w:pStyle w:val="NormalWeb"/>
              <w:jc w:val="center"/>
            </w:pPr>
            <w:r>
              <w:t>0</w:t>
            </w:r>
          </w:p>
        </w:tc>
        <w:tc>
          <w:tcPr>
            <w:tcW w:w="915" w:type="dxa"/>
            <w:tcBorders>
              <w:left w:val="single" w:sz="2" w:space="0" w:color="808080" w:themeColor="background1" w:themeShade="80"/>
              <w:right w:val="single" w:sz="2" w:space="0" w:color="808080" w:themeColor="background1" w:themeShade="80"/>
            </w:tcBorders>
            <w:hideMark/>
          </w:tcPr>
          <w:p w:rsidR="00355749" w:rsidRDefault="00355749" w:rsidP="00B05E9E">
            <w:pPr>
              <w:pStyle w:val="NormalWeb"/>
              <w:jc w:val="center"/>
            </w:pPr>
            <w:r>
              <w:t>0</w:t>
            </w:r>
          </w:p>
        </w:tc>
        <w:tc>
          <w:tcPr>
            <w:tcW w:w="915" w:type="dxa"/>
            <w:tcBorders>
              <w:left w:val="single" w:sz="2" w:space="0" w:color="808080" w:themeColor="background1" w:themeShade="80"/>
              <w:right w:val="single" w:sz="2" w:space="0" w:color="808080" w:themeColor="background1" w:themeShade="80"/>
            </w:tcBorders>
            <w:hideMark/>
          </w:tcPr>
          <w:p w:rsidR="00355749" w:rsidRDefault="00355749" w:rsidP="00B05E9E">
            <w:pPr>
              <w:pStyle w:val="NormalWeb"/>
              <w:jc w:val="center"/>
            </w:pPr>
            <w:r>
              <w:t>1</w:t>
            </w:r>
          </w:p>
        </w:tc>
        <w:tc>
          <w:tcPr>
            <w:tcW w:w="915" w:type="dxa"/>
            <w:tcBorders>
              <w:left w:val="single" w:sz="2" w:space="0" w:color="808080" w:themeColor="background1" w:themeShade="80"/>
              <w:right w:val="single" w:sz="2" w:space="0" w:color="808080" w:themeColor="background1" w:themeShade="80"/>
            </w:tcBorders>
            <w:hideMark/>
          </w:tcPr>
          <w:p w:rsidR="00355749" w:rsidRDefault="00355749" w:rsidP="00B05E9E">
            <w:pPr>
              <w:pStyle w:val="NormalWeb"/>
              <w:jc w:val="center"/>
            </w:pPr>
            <w:r>
              <w:t>1.0</w:t>
            </w:r>
          </w:p>
        </w:tc>
        <w:tc>
          <w:tcPr>
            <w:tcW w:w="916" w:type="dxa"/>
            <w:tcBorders>
              <w:left w:val="single" w:sz="2" w:space="0" w:color="808080" w:themeColor="background1" w:themeShade="80"/>
              <w:right w:val="single" w:sz="2" w:space="0" w:color="808080" w:themeColor="background1" w:themeShade="80"/>
            </w:tcBorders>
            <w:hideMark/>
          </w:tcPr>
          <w:p w:rsidR="00355749" w:rsidRDefault="00355749" w:rsidP="00B05E9E">
            <w:pPr>
              <w:pStyle w:val="NormalWeb"/>
              <w:jc w:val="center"/>
            </w:pPr>
            <w:r>
              <w:t>0</w:t>
            </w:r>
          </w:p>
        </w:tc>
        <w:tc>
          <w:tcPr>
            <w:tcW w:w="915" w:type="dxa"/>
            <w:tcBorders>
              <w:left w:val="single" w:sz="2" w:space="0" w:color="808080" w:themeColor="background1" w:themeShade="80"/>
              <w:right w:val="single" w:sz="2" w:space="0" w:color="808080" w:themeColor="background1" w:themeShade="80"/>
            </w:tcBorders>
            <w:hideMark/>
          </w:tcPr>
          <w:p w:rsidR="00355749" w:rsidRDefault="00355749" w:rsidP="00B05E9E">
            <w:pPr>
              <w:pStyle w:val="NormalWeb"/>
              <w:jc w:val="center"/>
            </w:pPr>
            <w:r>
              <w:t>0</w:t>
            </w:r>
          </w:p>
        </w:tc>
        <w:tc>
          <w:tcPr>
            <w:tcW w:w="915" w:type="dxa"/>
            <w:tcBorders>
              <w:left w:val="single" w:sz="2" w:space="0" w:color="808080" w:themeColor="background1" w:themeShade="80"/>
              <w:right w:val="single" w:sz="2" w:space="0" w:color="808080" w:themeColor="background1" w:themeShade="80"/>
            </w:tcBorders>
            <w:hideMark/>
          </w:tcPr>
          <w:p w:rsidR="00355749" w:rsidRDefault="00355749" w:rsidP="00B05E9E">
            <w:pPr>
              <w:pStyle w:val="NormalWeb"/>
              <w:jc w:val="center"/>
            </w:pPr>
            <w:r>
              <w:t>0</w:t>
            </w:r>
          </w:p>
        </w:tc>
        <w:tc>
          <w:tcPr>
            <w:tcW w:w="915" w:type="dxa"/>
            <w:tcBorders>
              <w:left w:val="single" w:sz="2" w:space="0" w:color="808080" w:themeColor="background1" w:themeShade="80"/>
              <w:right w:val="single" w:sz="2" w:space="0" w:color="808080" w:themeColor="background1" w:themeShade="80"/>
            </w:tcBorders>
            <w:hideMark/>
          </w:tcPr>
          <w:p w:rsidR="00355749" w:rsidRDefault="00355749" w:rsidP="00B05E9E">
            <w:pPr>
              <w:pStyle w:val="NormalWeb"/>
              <w:jc w:val="center"/>
            </w:pPr>
            <w:r>
              <w:t>0</w:t>
            </w:r>
          </w:p>
        </w:tc>
        <w:tc>
          <w:tcPr>
            <w:tcW w:w="915" w:type="dxa"/>
            <w:tcBorders>
              <w:left w:val="single" w:sz="2" w:space="0" w:color="808080" w:themeColor="background1" w:themeShade="80"/>
              <w:right w:val="single" w:sz="2" w:space="0" w:color="808080" w:themeColor="background1" w:themeShade="80"/>
            </w:tcBorders>
            <w:hideMark/>
          </w:tcPr>
          <w:p w:rsidR="00355749" w:rsidRDefault="00355749" w:rsidP="00B05E9E">
            <w:pPr>
              <w:pStyle w:val="NormalWeb"/>
              <w:jc w:val="center"/>
            </w:pPr>
            <w:r>
              <w:t>1</w:t>
            </w:r>
          </w:p>
        </w:tc>
        <w:tc>
          <w:tcPr>
            <w:tcW w:w="916" w:type="dxa"/>
            <w:tcBorders>
              <w:left w:val="single" w:sz="2" w:space="0" w:color="808080" w:themeColor="background1" w:themeShade="80"/>
              <w:right w:val="single" w:sz="2" w:space="0" w:color="808080" w:themeColor="background1" w:themeShade="80"/>
            </w:tcBorders>
            <w:hideMark/>
          </w:tcPr>
          <w:p w:rsidR="00355749" w:rsidRDefault="00355749" w:rsidP="00B05E9E">
            <w:pPr>
              <w:pStyle w:val="NormalWeb"/>
              <w:jc w:val="center"/>
            </w:pPr>
            <w:r>
              <w:t>1.9</w:t>
            </w:r>
          </w:p>
        </w:tc>
        <w:tc>
          <w:tcPr>
            <w:tcW w:w="915" w:type="dxa"/>
            <w:tcBorders>
              <w:left w:val="single" w:sz="2" w:space="0" w:color="808080" w:themeColor="background1" w:themeShade="80"/>
              <w:right w:val="single" w:sz="2" w:space="0" w:color="808080" w:themeColor="background1" w:themeShade="80"/>
            </w:tcBorders>
            <w:hideMark/>
          </w:tcPr>
          <w:p w:rsidR="00355749" w:rsidRDefault="00355749" w:rsidP="00B05E9E">
            <w:pPr>
              <w:pStyle w:val="NormalWeb"/>
              <w:jc w:val="center"/>
            </w:pPr>
            <w:r>
              <w:t>1</w:t>
            </w:r>
          </w:p>
        </w:tc>
        <w:tc>
          <w:tcPr>
            <w:tcW w:w="915" w:type="dxa"/>
            <w:tcBorders>
              <w:left w:val="single" w:sz="2" w:space="0" w:color="808080" w:themeColor="background1" w:themeShade="80"/>
              <w:right w:val="single" w:sz="2" w:space="0" w:color="808080" w:themeColor="background1" w:themeShade="80"/>
            </w:tcBorders>
            <w:hideMark/>
          </w:tcPr>
          <w:p w:rsidR="00355749" w:rsidRDefault="00355749" w:rsidP="00B05E9E">
            <w:pPr>
              <w:pStyle w:val="NormalWeb"/>
              <w:jc w:val="center"/>
            </w:pPr>
            <w:r>
              <w:t>1.7</w:t>
            </w:r>
          </w:p>
        </w:tc>
        <w:tc>
          <w:tcPr>
            <w:tcW w:w="915" w:type="dxa"/>
            <w:tcBorders>
              <w:left w:val="single" w:sz="2" w:space="0" w:color="808080" w:themeColor="background1" w:themeShade="80"/>
              <w:right w:val="single" w:sz="2" w:space="0" w:color="808080" w:themeColor="background1" w:themeShade="80"/>
            </w:tcBorders>
            <w:hideMark/>
          </w:tcPr>
          <w:p w:rsidR="00355749" w:rsidRDefault="00355749" w:rsidP="00B05E9E">
            <w:pPr>
              <w:pStyle w:val="NormalWeb"/>
              <w:jc w:val="center"/>
            </w:pPr>
            <w:r>
              <w:t>1</w:t>
            </w:r>
          </w:p>
        </w:tc>
        <w:tc>
          <w:tcPr>
            <w:tcW w:w="916" w:type="dxa"/>
            <w:tcBorders>
              <w:left w:val="single" w:sz="2" w:space="0" w:color="808080" w:themeColor="background1" w:themeShade="80"/>
            </w:tcBorders>
            <w:hideMark/>
          </w:tcPr>
          <w:p w:rsidR="00355749" w:rsidRDefault="00355749" w:rsidP="00B05E9E">
            <w:pPr>
              <w:pStyle w:val="NormalWeb"/>
              <w:jc w:val="center"/>
            </w:pPr>
            <w:r>
              <w:t>1.5</w:t>
            </w:r>
          </w:p>
        </w:tc>
      </w:tr>
      <w:tr w:rsidR="00B05E9E" w:rsidTr="00566F58">
        <w:trPr>
          <w:cnfStyle w:val="000000010000" w:firstRow="0" w:lastRow="0" w:firstColumn="0" w:lastColumn="0" w:oddVBand="0" w:evenVBand="0" w:oddHBand="0" w:evenHBand="1" w:firstRowFirstColumn="0" w:firstRowLastColumn="0" w:lastRowFirstColumn="0" w:lastRowLastColumn="0"/>
        </w:trPr>
        <w:tc>
          <w:tcPr>
            <w:tcW w:w="2127" w:type="dxa"/>
            <w:tcBorders>
              <w:right w:val="single" w:sz="2" w:space="0" w:color="808080" w:themeColor="background1" w:themeShade="80"/>
            </w:tcBorders>
            <w:hideMark/>
          </w:tcPr>
          <w:p w:rsidR="00355749" w:rsidRDefault="00355749">
            <w:pPr>
              <w:pStyle w:val="NormalWeb"/>
            </w:pPr>
            <w:r>
              <w:t>NT Remote</w:t>
            </w:r>
          </w:p>
        </w:tc>
        <w:tc>
          <w:tcPr>
            <w:tcW w:w="915" w:type="dxa"/>
            <w:tcBorders>
              <w:left w:val="single" w:sz="2" w:space="0" w:color="808080" w:themeColor="background1" w:themeShade="80"/>
              <w:right w:val="single" w:sz="2" w:space="0" w:color="808080" w:themeColor="background1" w:themeShade="80"/>
            </w:tcBorders>
            <w:hideMark/>
          </w:tcPr>
          <w:p w:rsidR="00355749" w:rsidRDefault="00355749" w:rsidP="00B05E9E">
            <w:pPr>
              <w:pStyle w:val="NormalWeb"/>
              <w:jc w:val="center"/>
            </w:pPr>
            <w:r>
              <w:t>0</w:t>
            </w:r>
          </w:p>
        </w:tc>
        <w:tc>
          <w:tcPr>
            <w:tcW w:w="915" w:type="dxa"/>
            <w:tcBorders>
              <w:left w:val="single" w:sz="2" w:space="0" w:color="808080" w:themeColor="background1" w:themeShade="80"/>
              <w:right w:val="single" w:sz="2" w:space="0" w:color="808080" w:themeColor="background1" w:themeShade="80"/>
            </w:tcBorders>
            <w:hideMark/>
          </w:tcPr>
          <w:p w:rsidR="00355749" w:rsidRDefault="00355749" w:rsidP="00B05E9E">
            <w:pPr>
              <w:pStyle w:val="NormalWeb"/>
              <w:jc w:val="center"/>
            </w:pPr>
            <w:r>
              <w:t>0</w:t>
            </w:r>
          </w:p>
        </w:tc>
        <w:tc>
          <w:tcPr>
            <w:tcW w:w="915" w:type="dxa"/>
            <w:tcBorders>
              <w:left w:val="single" w:sz="2" w:space="0" w:color="808080" w:themeColor="background1" w:themeShade="80"/>
              <w:right w:val="single" w:sz="2" w:space="0" w:color="808080" w:themeColor="background1" w:themeShade="80"/>
            </w:tcBorders>
            <w:hideMark/>
          </w:tcPr>
          <w:p w:rsidR="00355749" w:rsidRDefault="00355749" w:rsidP="00B05E9E">
            <w:pPr>
              <w:pStyle w:val="NormalWeb"/>
              <w:jc w:val="center"/>
            </w:pPr>
            <w:r>
              <w:t>0</w:t>
            </w:r>
          </w:p>
        </w:tc>
        <w:tc>
          <w:tcPr>
            <w:tcW w:w="915" w:type="dxa"/>
            <w:tcBorders>
              <w:left w:val="single" w:sz="2" w:space="0" w:color="808080" w:themeColor="background1" w:themeShade="80"/>
              <w:right w:val="single" w:sz="2" w:space="0" w:color="808080" w:themeColor="background1" w:themeShade="80"/>
            </w:tcBorders>
            <w:hideMark/>
          </w:tcPr>
          <w:p w:rsidR="00355749" w:rsidRDefault="00355749" w:rsidP="00B05E9E">
            <w:pPr>
              <w:pStyle w:val="NormalWeb"/>
              <w:jc w:val="center"/>
            </w:pPr>
            <w:r>
              <w:t>0</w:t>
            </w:r>
          </w:p>
        </w:tc>
        <w:tc>
          <w:tcPr>
            <w:tcW w:w="916" w:type="dxa"/>
            <w:tcBorders>
              <w:left w:val="single" w:sz="2" w:space="0" w:color="808080" w:themeColor="background1" w:themeShade="80"/>
              <w:right w:val="single" w:sz="2" w:space="0" w:color="808080" w:themeColor="background1" w:themeShade="80"/>
            </w:tcBorders>
            <w:hideMark/>
          </w:tcPr>
          <w:p w:rsidR="00355749" w:rsidRDefault="00355749" w:rsidP="00B05E9E">
            <w:pPr>
              <w:pStyle w:val="NormalWeb"/>
              <w:jc w:val="center"/>
            </w:pPr>
            <w:r>
              <w:t>0</w:t>
            </w:r>
          </w:p>
        </w:tc>
        <w:tc>
          <w:tcPr>
            <w:tcW w:w="915" w:type="dxa"/>
            <w:tcBorders>
              <w:left w:val="single" w:sz="2" w:space="0" w:color="808080" w:themeColor="background1" w:themeShade="80"/>
              <w:right w:val="single" w:sz="2" w:space="0" w:color="808080" w:themeColor="background1" w:themeShade="80"/>
            </w:tcBorders>
            <w:hideMark/>
          </w:tcPr>
          <w:p w:rsidR="00355749" w:rsidRDefault="00355749" w:rsidP="00B05E9E">
            <w:pPr>
              <w:pStyle w:val="NormalWeb"/>
              <w:jc w:val="center"/>
            </w:pPr>
            <w:r>
              <w:t>0</w:t>
            </w:r>
          </w:p>
        </w:tc>
        <w:tc>
          <w:tcPr>
            <w:tcW w:w="915" w:type="dxa"/>
            <w:tcBorders>
              <w:left w:val="single" w:sz="2" w:space="0" w:color="808080" w:themeColor="background1" w:themeShade="80"/>
              <w:right w:val="single" w:sz="2" w:space="0" w:color="808080" w:themeColor="background1" w:themeShade="80"/>
            </w:tcBorders>
            <w:hideMark/>
          </w:tcPr>
          <w:p w:rsidR="00355749" w:rsidRDefault="00355749" w:rsidP="00B05E9E">
            <w:pPr>
              <w:pStyle w:val="NormalWeb"/>
              <w:jc w:val="center"/>
            </w:pPr>
            <w:r>
              <w:t>0</w:t>
            </w:r>
          </w:p>
        </w:tc>
        <w:tc>
          <w:tcPr>
            <w:tcW w:w="915" w:type="dxa"/>
            <w:tcBorders>
              <w:left w:val="single" w:sz="2" w:space="0" w:color="808080" w:themeColor="background1" w:themeShade="80"/>
              <w:right w:val="single" w:sz="2" w:space="0" w:color="808080" w:themeColor="background1" w:themeShade="80"/>
            </w:tcBorders>
            <w:hideMark/>
          </w:tcPr>
          <w:p w:rsidR="00355749" w:rsidRDefault="00355749" w:rsidP="00B05E9E">
            <w:pPr>
              <w:pStyle w:val="NormalWeb"/>
              <w:jc w:val="center"/>
            </w:pPr>
            <w:r>
              <w:t>0</w:t>
            </w:r>
          </w:p>
        </w:tc>
        <w:tc>
          <w:tcPr>
            <w:tcW w:w="915" w:type="dxa"/>
            <w:tcBorders>
              <w:left w:val="single" w:sz="2" w:space="0" w:color="808080" w:themeColor="background1" w:themeShade="80"/>
              <w:right w:val="single" w:sz="2" w:space="0" w:color="808080" w:themeColor="background1" w:themeShade="80"/>
            </w:tcBorders>
            <w:hideMark/>
          </w:tcPr>
          <w:p w:rsidR="00355749" w:rsidRDefault="00355749" w:rsidP="00B05E9E">
            <w:pPr>
              <w:pStyle w:val="NormalWeb"/>
              <w:jc w:val="center"/>
            </w:pPr>
            <w:r>
              <w:t>0</w:t>
            </w:r>
          </w:p>
        </w:tc>
        <w:tc>
          <w:tcPr>
            <w:tcW w:w="916" w:type="dxa"/>
            <w:tcBorders>
              <w:left w:val="single" w:sz="2" w:space="0" w:color="808080" w:themeColor="background1" w:themeShade="80"/>
              <w:right w:val="single" w:sz="2" w:space="0" w:color="808080" w:themeColor="background1" w:themeShade="80"/>
            </w:tcBorders>
            <w:hideMark/>
          </w:tcPr>
          <w:p w:rsidR="00355749" w:rsidRDefault="00355749" w:rsidP="00B05E9E">
            <w:pPr>
              <w:pStyle w:val="NormalWeb"/>
              <w:jc w:val="center"/>
            </w:pPr>
            <w:r>
              <w:t>0</w:t>
            </w:r>
          </w:p>
        </w:tc>
        <w:tc>
          <w:tcPr>
            <w:tcW w:w="915" w:type="dxa"/>
            <w:tcBorders>
              <w:left w:val="single" w:sz="2" w:space="0" w:color="808080" w:themeColor="background1" w:themeShade="80"/>
              <w:right w:val="single" w:sz="2" w:space="0" w:color="808080" w:themeColor="background1" w:themeShade="80"/>
            </w:tcBorders>
            <w:hideMark/>
          </w:tcPr>
          <w:p w:rsidR="00355749" w:rsidRDefault="00355749" w:rsidP="00B05E9E">
            <w:pPr>
              <w:pStyle w:val="NormalWeb"/>
              <w:jc w:val="center"/>
            </w:pPr>
            <w:r>
              <w:t>1</w:t>
            </w:r>
          </w:p>
        </w:tc>
        <w:tc>
          <w:tcPr>
            <w:tcW w:w="915" w:type="dxa"/>
            <w:tcBorders>
              <w:left w:val="single" w:sz="2" w:space="0" w:color="808080" w:themeColor="background1" w:themeShade="80"/>
              <w:right w:val="single" w:sz="2" w:space="0" w:color="808080" w:themeColor="background1" w:themeShade="80"/>
            </w:tcBorders>
            <w:hideMark/>
          </w:tcPr>
          <w:p w:rsidR="00355749" w:rsidRDefault="00355749" w:rsidP="00B05E9E">
            <w:pPr>
              <w:pStyle w:val="NormalWeb"/>
              <w:jc w:val="center"/>
            </w:pPr>
            <w:r>
              <w:t>0.6</w:t>
            </w:r>
          </w:p>
        </w:tc>
        <w:tc>
          <w:tcPr>
            <w:tcW w:w="915" w:type="dxa"/>
            <w:tcBorders>
              <w:left w:val="single" w:sz="2" w:space="0" w:color="808080" w:themeColor="background1" w:themeShade="80"/>
              <w:right w:val="single" w:sz="2" w:space="0" w:color="808080" w:themeColor="background1" w:themeShade="80"/>
            </w:tcBorders>
            <w:hideMark/>
          </w:tcPr>
          <w:p w:rsidR="00355749" w:rsidRDefault="00355749" w:rsidP="00B05E9E">
            <w:pPr>
              <w:pStyle w:val="NormalWeb"/>
              <w:jc w:val="center"/>
            </w:pPr>
            <w:r>
              <w:t>0</w:t>
            </w:r>
          </w:p>
        </w:tc>
        <w:tc>
          <w:tcPr>
            <w:tcW w:w="916" w:type="dxa"/>
            <w:tcBorders>
              <w:left w:val="single" w:sz="2" w:space="0" w:color="808080" w:themeColor="background1" w:themeShade="80"/>
            </w:tcBorders>
            <w:hideMark/>
          </w:tcPr>
          <w:p w:rsidR="00355749" w:rsidRDefault="00355749" w:rsidP="00B05E9E">
            <w:pPr>
              <w:pStyle w:val="NormalWeb"/>
              <w:jc w:val="center"/>
            </w:pPr>
            <w:r>
              <w:t>0.0</w:t>
            </w:r>
          </w:p>
        </w:tc>
      </w:tr>
      <w:tr w:rsidR="006B07A9" w:rsidTr="00566F58">
        <w:tc>
          <w:tcPr>
            <w:tcW w:w="2127" w:type="dxa"/>
            <w:tcBorders>
              <w:right w:val="single" w:sz="2" w:space="0" w:color="808080" w:themeColor="background1" w:themeShade="80"/>
            </w:tcBorders>
            <w:hideMark/>
          </w:tcPr>
          <w:p w:rsidR="00355749" w:rsidRDefault="00C61158">
            <w:pPr>
              <w:pStyle w:val="NormalWeb"/>
            </w:pPr>
            <w:r>
              <w:t xml:space="preserve">WA Urban and </w:t>
            </w:r>
            <w:r w:rsidR="00355749">
              <w:t>Rural</w:t>
            </w:r>
          </w:p>
        </w:tc>
        <w:tc>
          <w:tcPr>
            <w:tcW w:w="915" w:type="dxa"/>
            <w:tcBorders>
              <w:left w:val="single" w:sz="2" w:space="0" w:color="808080" w:themeColor="background1" w:themeShade="80"/>
              <w:right w:val="single" w:sz="2" w:space="0" w:color="808080" w:themeColor="background1" w:themeShade="80"/>
            </w:tcBorders>
            <w:hideMark/>
          </w:tcPr>
          <w:p w:rsidR="00355749" w:rsidRDefault="00355749" w:rsidP="00B05E9E">
            <w:pPr>
              <w:pStyle w:val="NormalWeb"/>
              <w:jc w:val="center"/>
            </w:pPr>
            <w:r>
              <w:t>3</w:t>
            </w:r>
          </w:p>
        </w:tc>
        <w:tc>
          <w:tcPr>
            <w:tcW w:w="915" w:type="dxa"/>
            <w:tcBorders>
              <w:left w:val="single" w:sz="2" w:space="0" w:color="808080" w:themeColor="background1" w:themeShade="80"/>
              <w:right w:val="single" w:sz="2" w:space="0" w:color="808080" w:themeColor="background1" w:themeShade="80"/>
            </w:tcBorders>
            <w:hideMark/>
          </w:tcPr>
          <w:p w:rsidR="00355749" w:rsidRDefault="00355749" w:rsidP="00B05E9E">
            <w:pPr>
              <w:pStyle w:val="NormalWeb"/>
              <w:jc w:val="center"/>
            </w:pPr>
            <w:r>
              <w:t>0.6</w:t>
            </w:r>
          </w:p>
        </w:tc>
        <w:tc>
          <w:tcPr>
            <w:tcW w:w="915" w:type="dxa"/>
            <w:tcBorders>
              <w:left w:val="single" w:sz="2" w:space="0" w:color="808080" w:themeColor="background1" w:themeShade="80"/>
              <w:right w:val="single" w:sz="2" w:space="0" w:color="808080" w:themeColor="background1" w:themeShade="80"/>
            </w:tcBorders>
            <w:hideMark/>
          </w:tcPr>
          <w:p w:rsidR="00355749" w:rsidRDefault="00355749" w:rsidP="00B05E9E">
            <w:pPr>
              <w:pStyle w:val="NormalWeb"/>
              <w:jc w:val="center"/>
            </w:pPr>
            <w:r>
              <w:t>9</w:t>
            </w:r>
          </w:p>
        </w:tc>
        <w:tc>
          <w:tcPr>
            <w:tcW w:w="915" w:type="dxa"/>
            <w:tcBorders>
              <w:left w:val="single" w:sz="2" w:space="0" w:color="808080" w:themeColor="background1" w:themeShade="80"/>
              <w:right w:val="single" w:sz="2" w:space="0" w:color="808080" w:themeColor="background1" w:themeShade="80"/>
            </w:tcBorders>
            <w:hideMark/>
          </w:tcPr>
          <w:p w:rsidR="00355749" w:rsidRDefault="00355749" w:rsidP="00B05E9E">
            <w:pPr>
              <w:pStyle w:val="NormalWeb"/>
              <w:jc w:val="center"/>
            </w:pPr>
            <w:r>
              <w:t>1.9</w:t>
            </w:r>
          </w:p>
        </w:tc>
        <w:tc>
          <w:tcPr>
            <w:tcW w:w="916" w:type="dxa"/>
            <w:tcBorders>
              <w:left w:val="single" w:sz="2" w:space="0" w:color="808080" w:themeColor="background1" w:themeShade="80"/>
              <w:right w:val="single" w:sz="2" w:space="0" w:color="808080" w:themeColor="background1" w:themeShade="80"/>
            </w:tcBorders>
            <w:hideMark/>
          </w:tcPr>
          <w:p w:rsidR="00355749" w:rsidRDefault="00355749" w:rsidP="00B05E9E">
            <w:pPr>
              <w:pStyle w:val="NormalWeb"/>
              <w:jc w:val="center"/>
            </w:pPr>
            <w:r>
              <w:t>21</w:t>
            </w:r>
          </w:p>
        </w:tc>
        <w:tc>
          <w:tcPr>
            <w:tcW w:w="915" w:type="dxa"/>
            <w:tcBorders>
              <w:left w:val="single" w:sz="2" w:space="0" w:color="808080" w:themeColor="background1" w:themeShade="80"/>
              <w:right w:val="single" w:sz="2" w:space="0" w:color="808080" w:themeColor="background1" w:themeShade="80"/>
            </w:tcBorders>
            <w:hideMark/>
          </w:tcPr>
          <w:p w:rsidR="00355749" w:rsidRDefault="00355749" w:rsidP="00B05E9E">
            <w:pPr>
              <w:pStyle w:val="NormalWeb"/>
              <w:jc w:val="center"/>
            </w:pPr>
            <w:r>
              <w:t>5.3</w:t>
            </w:r>
          </w:p>
        </w:tc>
        <w:tc>
          <w:tcPr>
            <w:tcW w:w="915" w:type="dxa"/>
            <w:tcBorders>
              <w:left w:val="single" w:sz="2" w:space="0" w:color="808080" w:themeColor="background1" w:themeShade="80"/>
              <w:right w:val="single" w:sz="2" w:space="0" w:color="808080" w:themeColor="background1" w:themeShade="80"/>
            </w:tcBorders>
            <w:hideMark/>
          </w:tcPr>
          <w:p w:rsidR="00355749" w:rsidRDefault="00355749" w:rsidP="00B05E9E">
            <w:pPr>
              <w:pStyle w:val="NormalWeb"/>
              <w:jc w:val="center"/>
            </w:pPr>
            <w:r>
              <w:t>15</w:t>
            </w:r>
          </w:p>
        </w:tc>
        <w:tc>
          <w:tcPr>
            <w:tcW w:w="915" w:type="dxa"/>
            <w:tcBorders>
              <w:left w:val="single" w:sz="2" w:space="0" w:color="808080" w:themeColor="background1" w:themeShade="80"/>
              <w:right w:val="single" w:sz="2" w:space="0" w:color="808080" w:themeColor="background1" w:themeShade="80"/>
            </w:tcBorders>
            <w:hideMark/>
          </w:tcPr>
          <w:p w:rsidR="00355749" w:rsidRDefault="00355749" w:rsidP="00B05E9E">
            <w:pPr>
              <w:pStyle w:val="NormalWeb"/>
              <w:jc w:val="center"/>
            </w:pPr>
            <w:r>
              <w:t>3.8</w:t>
            </w:r>
          </w:p>
        </w:tc>
        <w:tc>
          <w:tcPr>
            <w:tcW w:w="915" w:type="dxa"/>
            <w:tcBorders>
              <w:left w:val="single" w:sz="2" w:space="0" w:color="808080" w:themeColor="background1" w:themeShade="80"/>
              <w:right w:val="single" w:sz="2" w:space="0" w:color="808080" w:themeColor="background1" w:themeShade="80"/>
            </w:tcBorders>
            <w:hideMark/>
          </w:tcPr>
          <w:p w:rsidR="00355749" w:rsidRDefault="00355749" w:rsidP="00B05E9E">
            <w:pPr>
              <w:pStyle w:val="NormalWeb"/>
              <w:jc w:val="center"/>
            </w:pPr>
            <w:r>
              <w:t>51</w:t>
            </w:r>
          </w:p>
        </w:tc>
        <w:tc>
          <w:tcPr>
            <w:tcW w:w="916" w:type="dxa"/>
            <w:tcBorders>
              <w:left w:val="single" w:sz="2" w:space="0" w:color="808080" w:themeColor="background1" w:themeShade="80"/>
              <w:right w:val="single" w:sz="2" w:space="0" w:color="808080" w:themeColor="background1" w:themeShade="80"/>
            </w:tcBorders>
            <w:hideMark/>
          </w:tcPr>
          <w:p w:rsidR="00355749" w:rsidRDefault="00355749" w:rsidP="00B05E9E">
            <w:pPr>
              <w:pStyle w:val="NormalWeb"/>
              <w:jc w:val="center"/>
            </w:pPr>
            <w:r>
              <w:t>7.6</w:t>
            </w:r>
          </w:p>
        </w:tc>
        <w:tc>
          <w:tcPr>
            <w:tcW w:w="915" w:type="dxa"/>
            <w:tcBorders>
              <w:left w:val="single" w:sz="2" w:space="0" w:color="808080" w:themeColor="background1" w:themeShade="80"/>
              <w:right w:val="single" w:sz="2" w:space="0" w:color="808080" w:themeColor="background1" w:themeShade="80"/>
            </w:tcBorders>
            <w:hideMark/>
          </w:tcPr>
          <w:p w:rsidR="00355749" w:rsidRDefault="00355749" w:rsidP="00B05E9E">
            <w:pPr>
              <w:pStyle w:val="NormalWeb"/>
              <w:jc w:val="center"/>
            </w:pPr>
            <w:r>
              <w:t>40</w:t>
            </w:r>
          </w:p>
        </w:tc>
        <w:tc>
          <w:tcPr>
            <w:tcW w:w="915" w:type="dxa"/>
            <w:tcBorders>
              <w:left w:val="single" w:sz="2" w:space="0" w:color="808080" w:themeColor="background1" w:themeShade="80"/>
              <w:right w:val="single" w:sz="2" w:space="0" w:color="808080" w:themeColor="background1" w:themeShade="80"/>
            </w:tcBorders>
            <w:hideMark/>
          </w:tcPr>
          <w:p w:rsidR="00355749" w:rsidRDefault="00355749" w:rsidP="00B05E9E">
            <w:pPr>
              <w:pStyle w:val="NormalWeb"/>
              <w:jc w:val="center"/>
            </w:pPr>
            <w:r>
              <w:t>6.4</w:t>
            </w:r>
          </w:p>
        </w:tc>
        <w:tc>
          <w:tcPr>
            <w:tcW w:w="915" w:type="dxa"/>
            <w:tcBorders>
              <w:left w:val="single" w:sz="2" w:space="0" w:color="808080" w:themeColor="background1" w:themeShade="80"/>
              <w:right w:val="single" w:sz="2" w:space="0" w:color="808080" w:themeColor="background1" w:themeShade="80"/>
            </w:tcBorders>
            <w:hideMark/>
          </w:tcPr>
          <w:p w:rsidR="00355749" w:rsidRDefault="00355749" w:rsidP="00B05E9E">
            <w:pPr>
              <w:pStyle w:val="NormalWeb"/>
              <w:jc w:val="center"/>
            </w:pPr>
            <w:r>
              <w:t>16</w:t>
            </w:r>
          </w:p>
        </w:tc>
        <w:tc>
          <w:tcPr>
            <w:tcW w:w="916" w:type="dxa"/>
            <w:tcBorders>
              <w:left w:val="single" w:sz="2" w:space="0" w:color="808080" w:themeColor="background1" w:themeShade="80"/>
            </w:tcBorders>
            <w:hideMark/>
          </w:tcPr>
          <w:p w:rsidR="00355749" w:rsidRDefault="00355749" w:rsidP="00B05E9E">
            <w:pPr>
              <w:pStyle w:val="NormalWeb"/>
              <w:jc w:val="center"/>
            </w:pPr>
            <w:r>
              <w:t>2.5</w:t>
            </w:r>
          </w:p>
        </w:tc>
      </w:tr>
      <w:tr w:rsidR="00B05E9E" w:rsidTr="00566F58">
        <w:trPr>
          <w:cnfStyle w:val="000000010000" w:firstRow="0" w:lastRow="0" w:firstColumn="0" w:lastColumn="0" w:oddVBand="0" w:evenVBand="0" w:oddHBand="0" w:evenHBand="1" w:firstRowFirstColumn="0" w:firstRowLastColumn="0" w:lastRowFirstColumn="0" w:lastRowLastColumn="0"/>
        </w:trPr>
        <w:tc>
          <w:tcPr>
            <w:tcW w:w="2127" w:type="dxa"/>
            <w:tcBorders>
              <w:right w:val="single" w:sz="2" w:space="0" w:color="808080" w:themeColor="background1" w:themeShade="80"/>
            </w:tcBorders>
            <w:hideMark/>
          </w:tcPr>
          <w:p w:rsidR="00355749" w:rsidRDefault="00355749">
            <w:pPr>
              <w:pStyle w:val="NormalWeb"/>
            </w:pPr>
            <w:r>
              <w:t>WA Remote</w:t>
            </w:r>
          </w:p>
        </w:tc>
        <w:tc>
          <w:tcPr>
            <w:tcW w:w="915" w:type="dxa"/>
            <w:tcBorders>
              <w:left w:val="single" w:sz="2" w:space="0" w:color="808080" w:themeColor="background1" w:themeShade="80"/>
              <w:right w:val="single" w:sz="2" w:space="0" w:color="808080" w:themeColor="background1" w:themeShade="80"/>
            </w:tcBorders>
            <w:hideMark/>
          </w:tcPr>
          <w:p w:rsidR="00355749" w:rsidRDefault="00355749" w:rsidP="00B05E9E">
            <w:pPr>
              <w:pStyle w:val="NormalWeb"/>
              <w:jc w:val="center"/>
            </w:pPr>
            <w:r>
              <w:t>0</w:t>
            </w:r>
          </w:p>
        </w:tc>
        <w:tc>
          <w:tcPr>
            <w:tcW w:w="915" w:type="dxa"/>
            <w:tcBorders>
              <w:left w:val="single" w:sz="2" w:space="0" w:color="808080" w:themeColor="background1" w:themeShade="80"/>
              <w:right w:val="single" w:sz="2" w:space="0" w:color="808080" w:themeColor="background1" w:themeShade="80"/>
            </w:tcBorders>
            <w:hideMark/>
          </w:tcPr>
          <w:p w:rsidR="00355749" w:rsidRDefault="00355749" w:rsidP="00B05E9E">
            <w:pPr>
              <w:pStyle w:val="NormalWeb"/>
              <w:jc w:val="center"/>
            </w:pPr>
            <w:r>
              <w:t>0</w:t>
            </w:r>
          </w:p>
        </w:tc>
        <w:tc>
          <w:tcPr>
            <w:tcW w:w="915" w:type="dxa"/>
            <w:tcBorders>
              <w:left w:val="single" w:sz="2" w:space="0" w:color="808080" w:themeColor="background1" w:themeShade="80"/>
              <w:right w:val="single" w:sz="2" w:space="0" w:color="808080" w:themeColor="background1" w:themeShade="80"/>
            </w:tcBorders>
            <w:hideMark/>
          </w:tcPr>
          <w:p w:rsidR="00355749" w:rsidRDefault="00355749" w:rsidP="00B05E9E">
            <w:pPr>
              <w:pStyle w:val="NormalWeb"/>
              <w:jc w:val="center"/>
            </w:pPr>
            <w:r>
              <w:t>0</w:t>
            </w:r>
          </w:p>
        </w:tc>
        <w:tc>
          <w:tcPr>
            <w:tcW w:w="915" w:type="dxa"/>
            <w:tcBorders>
              <w:left w:val="single" w:sz="2" w:space="0" w:color="808080" w:themeColor="background1" w:themeShade="80"/>
              <w:right w:val="single" w:sz="2" w:space="0" w:color="808080" w:themeColor="background1" w:themeShade="80"/>
            </w:tcBorders>
            <w:hideMark/>
          </w:tcPr>
          <w:p w:rsidR="00355749" w:rsidRDefault="00355749" w:rsidP="00B05E9E">
            <w:pPr>
              <w:pStyle w:val="NormalWeb"/>
              <w:jc w:val="center"/>
            </w:pPr>
            <w:r>
              <w:t>0</w:t>
            </w:r>
          </w:p>
        </w:tc>
        <w:tc>
          <w:tcPr>
            <w:tcW w:w="916" w:type="dxa"/>
            <w:tcBorders>
              <w:left w:val="single" w:sz="2" w:space="0" w:color="808080" w:themeColor="background1" w:themeShade="80"/>
              <w:right w:val="single" w:sz="2" w:space="0" w:color="808080" w:themeColor="background1" w:themeShade="80"/>
            </w:tcBorders>
            <w:hideMark/>
          </w:tcPr>
          <w:p w:rsidR="00355749" w:rsidRDefault="00355749" w:rsidP="00B05E9E">
            <w:pPr>
              <w:pStyle w:val="NormalWeb"/>
              <w:jc w:val="center"/>
            </w:pPr>
            <w:r>
              <w:t>0</w:t>
            </w:r>
          </w:p>
        </w:tc>
        <w:tc>
          <w:tcPr>
            <w:tcW w:w="915" w:type="dxa"/>
            <w:tcBorders>
              <w:left w:val="single" w:sz="2" w:space="0" w:color="808080" w:themeColor="background1" w:themeShade="80"/>
              <w:right w:val="single" w:sz="2" w:space="0" w:color="808080" w:themeColor="background1" w:themeShade="80"/>
            </w:tcBorders>
            <w:hideMark/>
          </w:tcPr>
          <w:p w:rsidR="00355749" w:rsidRDefault="00355749" w:rsidP="00B05E9E">
            <w:pPr>
              <w:pStyle w:val="NormalWeb"/>
              <w:jc w:val="center"/>
            </w:pPr>
            <w:r>
              <w:t>0</w:t>
            </w:r>
          </w:p>
        </w:tc>
        <w:tc>
          <w:tcPr>
            <w:tcW w:w="915" w:type="dxa"/>
            <w:tcBorders>
              <w:left w:val="single" w:sz="2" w:space="0" w:color="808080" w:themeColor="background1" w:themeShade="80"/>
              <w:right w:val="single" w:sz="2" w:space="0" w:color="808080" w:themeColor="background1" w:themeShade="80"/>
            </w:tcBorders>
            <w:hideMark/>
          </w:tcPr>
          <w:p w:rsidR="00355749" w:rsidRDefault="00355749" w:rsidP="00B05E9E">
            <w:pPr>
              <w:pStyle w:val="NormalWeb"/>
              <w:jc w:val="center"/>
            </w:pPr>
            <w:r>
              <w:t>0</w:t>
            </w:r>
          </w:p>
        </w:tc>
        <w:tc>
          <w:tcPr>
            <w:tcW w:w="915" w:type="dxa"/>
            <w:tcBorders>
              <w:left w:val="single" w:sz="2" w:space="0" w:color="808080" w:themeColor="background1" w:themeShade="80"/>
              <w:right w:val="single" w:sz="2" w:space="0" w:color="808080" w:themeColor="background1" w:themeShade="80"/>
            </w:tcBorders>
            <w:hideMark/>
          </w:tcPr>
          <w:p w:rsidR="00355749" w:rsidRDefault="00355749" w:rsidP="00B05E9E">
            <w:pPr>
              <w:pStyle w:val="NormalWeb"/>
              <w:jc w:val="center"/>
            </w:pPr>
            <w:r>
              <w:t>0</w:t>
            </w:r>
          </w:p>
        </w:tc>
        <w:tc>
          <w:tcPr>
            <w:tcW w:w="915" w:type="dxa"/>
            <w:tcBorders>
              <w:left w:val="single" w:sz="2" w:space="0" w:color="808080" w:themeColor="background1" w:themeShade="80"/>
              <w:right w:val="single" w:sz="2" w:space="0" w:color="808080" w:themeColor="background1" w:themeShade="80"/>
            </w:tcBorders>
            <w:hideMark/>
          </w:tcPr>
          <w:p w:rsidR="00355749" w:rsidRDefault="00355749" w:rsidP="00B05E9E">
            <w:pPr>
              <w:pStyle w:val="NormalWeb"/>
              <w:jc w:val="center"/>
            </w:pPr>
            <w:r>
              <w:t>1</w:t>
            </w:r>
          </w:p>
        </w:tc>
        <w:tc>
          <w:tcPr>
            <w:tcW w:w="916" w:type="dxa"/>
            <w:tcBorders>
              <w:left w:val="single" w:sz="2" w:space="0" w:color="808080" w:themeColor="background1" w:themeShade="80"/>
              <w:right w:val="single" w:sz="2" w:space="0" w:color="808080" w:themeColor="background1" w:themeShade="80"/>
            </w:tcBorders>
            <w:hideMark/>
          </w:tcPr>
          <w:p w:rsidR="00355749" w:rsidRDefault="00355749" w:rsidP="00B05E9E">
            <w:pPr>
              <w:pStyle w:val="NormalWeb"/>
              <w:jc w:val="center"/>
            </w:pPr>
            <w:r>
              <w:t>0.8</w:t>
            </w:r>
          </w:p>
        </w:tc>
        <w:tc>
          <w:tcPr>
            <w:tcW w:w="915" w:type="dxa"/>
            <w:tcBorders>
              <w:left w:val="single" w:sz="2" w:space="0" w:color="808080" w:themeColor="background1" w:themeShade="80"/>
              <w:right w:val="single" w:sz="2" w:space="0" w:color="808080" w:themeColor="background1" w:themeShade="80"/>
            </w:tcBorders>
            <w:hideMark/>
          </w:tcPr>
          <w:p w:rsidR="00355749" w:rsidRDefault="00355749" w:rsidP="00B05E9E">
            <w:pPr>
              <w:pStyle w:val="NormalWeb"/>
              <w:jc w:val="center"/>
            </w:pPr>
            <w:r>
              <w:t>4</w:t>
            </w:r>
          </w:p>
        </w:tc>
        <w:tc>
          <w:tcPr>
            <w:tcW w:w="915" w:type="dxa"/>
            <w:tcBorders>
              <w:left w:val="single" w:sz="2" w:space="0" w:color="808080" w:themeColor="background1" w:themeShade="80"/>
              <w:right w:val="single" w:sz="2" w:space="0" w:color="808080" w:themeColor="background1" w:themeShade="80"/>
            </w:tcBorders>
            <w:hideMark/>
          </w:tcPr>
          <w:p w:rsidR="00355749" w:rsidRDefault="00355749" w:rsidP="00B05E9E">
            <w:pPr>
              <w:pStyle w:val="NormalWeb"/>
              <w:jc w:val="center"/>
            </w:pPr>
            <w:r>
              <w:t>3.4</w:t>
            </w:r>
          </w:p>
        </w:tc>
        <w:tc>
          <w:tcPr>
            <w:tcW w:w="915" w:type="dxa"/>
            <w:tcBorders>
              <w:left w:val="single" w:sz="2" w:space="0" w:color="808080" w:themeColor="background1" w:themeShade="80"/>
              <w:right w:val="single" w:sz="2" w:space="0" w:color="808080" w:themeColor="background1" w:themeShade="80"/>
            </w:tcBorders>
            <w:hideMark/>
          </w:tcPr>
          <w:p w:rsidR="00355749" w:rsidRDefault="00355749" w:rsidP="00B05E9E">
            <w:pPr>
              <w:pStyle w:val="NormalWeb"/>
              <w:jc w:val="center"/>
            </w:pPr>
            <w:r>
              <w:t>1</w:t>
            </w:r>
          </w:p>
        </w:tc>
        <w:tc>
          <w:tcPr>
            <w:tcW w:w="916" w:type="dxa"/>
            <w:tcBorders>
              <w:left w:val="single" w:sz="2" w:space="0" w:color="808080" w:themeColor="background1" w:themeShade="80"/>
            </w:tcBorders>
            <w:hideMark/>
          </w:tcPr>
          <w:p w:rsidR="00355749" w:rsidRDefault="00355749" w:rsidP="00B05E9E">
            <w:pPr>
              <w:pStyle w:val="NormalWeb"/>
              <w:jc w:val="center"/>
            </w:pPr>
            <w:r>
              <w:t>0.9</w:t>
            </w:r>
          </w:p>
        </w:tc>
      </w:tr>
      <w:tr w:rsidR="006B07A9" w:rsidTr="00566F58">
        <w:tc>
          <w:tcPr>
            <w:tcW w:w="2127" w:type="dxa"/>
            <w:tcBorders>
              <w:right w:val="single" w:sz="2" w:space="0" w:color="808080" w:themeColor="background1" w:themeShade="80"/>
            </w:tcBorders>
            <w:shd w:val="clear" w:color="auto" w:fill="FDE9D9" w:themeFill="accent6" w:themeFillTint="33"/>
            <w:hideMark/>
          </w:tcPr>
          <w:p w:rsidR="00355749" w:rsidRDefault="00355749">
            <w:pPr>
              <w:pStyle w:val="NormalWeb"/>
            </w:pPr>
            <w:r>
              <w:t>Australia</w:t>
            </w:r>
          </w:p>
        </w:tc>
        <w:tc>
          <w:tcPr>
            <w:tcW w:w="915" w:type="dxa"/>
            <w:tcBorders>
              <w:left w:val="single" w:sz="2" w:space="0" w:color="808080" w:themeColor="background1" w:themeShade="80"/>
              <w:right w:val="single" w:sz="2" w:space="0" w:color="808080" w:themeColor="background1" w:themeShade="80"/>
            </w:tcBorders>
            <w:shd w:val="clear" w:color="auto" w:fill="FDE9D9" w:themeFill="accent6" w:themeFillTint="33"/>
            <w:hideMark/>
          </w:tcPr>
          <w:p w:rsidR="00355749" w:rsidRDefault="00355749" w:rsidP="00B05E9E">
            <w:pPr>
              <w:pStyle w:val="NormalWeb"/>
              <w:jc w:val="center"/>
            </w:pPr>
            <w:r>
              <w:t>62</w:t>
            </w:r>
          </w:p>
        </w:tc>
        <w:tc>
          <w:tcPr>
            <w:tcW w:w="915" w:type="dxa"/>
            <w:tcBorders>
              <w:left w:val="single" w:sz="2" w:space="0" w:color="808080" w:themeColor="background1" w:themeShade="80"/>
              <w:right w:val="single" w:sz="2" w:space="0" w:color="808080" w:themeColor="background1" w:themeShade="80"/>
            </w:tcBorders>
            <w:shd w:val="clear" w:color="auto" w:fill="FDE9D9" w:themeFill="accent6" w:themeFillTint="33"/>
            <w:hideMark/>
          </w:tcPr>
          <w:p w:rsidR="00355749" w:rsidRDefault="00355749" w:rsidP="00B05E9E">
            <w:pPr>
              <w:pStyle w:val="NormalWeb"/>
              <w:jc w:val="center"/>
            </w:pPr>
            <w:r>
              <w:t>1.3</w:t>
            </w:r>
          </w:p>
        </w:tc>
        <w:tc>
          <w:tcPr>
            <w:tcW w:w="915" w:type="dxa"/>
            <w:tcBorders>
              <w:left w:val="single" w:sz="2" w:space="0" w:color="808080" w:themeColor="background1" w:themeShade="80"/>
              <w:right w:val="single" w:sz="2" w:space="0" w:color="808080" w:themeColor="background1" w:themeShade="80"/>
            </w:tcBorders>
            <w:shd w:val="clear" w:color="auto" w:fill="FDE9D9" w:themeFill="accent6" w:themeFillTint="33"/>
            <w:hideMark/>
          </w:tcPr>
          <w:p w:rsidR="00355749" w:rsidRDefault="00355749" w:rsidP="00B05E9E">
            <w:pPr>
              <w:pStyle w:val="NormalWeb"/>
              <w:jc w:val="center"/>
            </w:pPr>
            <w:r>
              <w:t>104</w:t>
            </w:r>
          </w:p>
        </w:tc>
        <w:tc>
          <w:tcPr>
            <w:tcW w:w="915" w:type="dxa"/>
            <w:tcBorders>
              <w:left w:val="single" w:sz="2" w:space="0" w:color="808080" w:themeColor="background1" w:themeShade="80"/>
              <w:right w:val="single" w:sz="2" w:space="0" w:color="808080" w:themeColor="background1" w:themeShade="80"/>
            </w:tcBorders>
            <w:shd w:val="clear" w:color="auto" w:fill="FDE9D9" w:themeFill="accent6" w:themeFillTint="33"/>
            <w:hideMark/>
          </w:tcPr>
          <w:p w:rsidR="00355749" w:rsidRDefault="00355749" w:rsidP="00B05E9E">
            <w:pPr>
              <w:pStyle w:val="NormalWeb"/>
              <w:jc w:val="center"/>
            </w:pPr>
            <w:r>
              <w:t>2.1</w:t>
            </w:r>
          </w:p>
        </w:tc>
        <w:tc>
          <w:tcPr>
            <w:tcW w:w="916" w:type="dxa"/>
            <w:tcBorders>
              <w:left w:val="single" w:sz="2" w:space="0" w:color="808080" w:themeColor="background1" w:themeShade="80"/>
              <w:right w:val="single" w:sz="2" w:space="0" w:color="808080" w:themeColor="background1" w:themeShade="80"/>
            </w:tcBorders>
            <w:shd w:val="clear" w:color="auto" w:fill="FDE9D9" w:themeFill="accent6" w:themeFillTint="33"/>
            <w:hideMark/>
          </w:tcPr>
          <w:p w:rsidR="00355749" w:rsidRDefault="00355749" w:rsidP="00B05E9E">
            <w:pPr>
              <w:pStyle w:val="NormalWeb"/>
              <w:jc w:val="center"/>
            </w:pPr>
            <w:r>
              <w:t>119</w:t>
            </w:r>
          </w:p>
        </w:tc>
        <w:tc>
          <w:tcPr>
            <w:tcW w:w="915" w:type="dxa"/>
            <w:tcBorders>
              <w:left w:val="single" w:sz="2" w:space="0" w:color="808080" w:themeColor="background1" w:themeShade="80"/>
              <w:right w:val="single" w:sz="2" w:space="0" w:color="808080" w:themeColor="background1" w:themeShade="80"/>
            </w:tcBorders>
            <w:shd w:val="clear" w:color="auto" w:fill="FDE9D9" w:themeFill="accent6" w:themeFillTint="33"/>
            <w:hideMark/>
          </w:tcPr>
          <w:p w:rsidR="00355749" w:rsidRDefault="00355749" w:rsidP="00B05E9E">
            <w:pPr>
              <w:pStyle w:val="NormalWeb"/>
              <w:jc w:val="center"/>
            </w:pPr>
            <w:r>
              <w:t>2.5</w:t>
            </w:r>
          </w:p>
        </w:tc>
        <w:tc>
          <w:tcPr>
            <w:tcW w:w="915" w:type="dxa"/>
            <w:tcBorders>
              <w:left w:val="single" w:sz="2" w:space="0" w:color="808080" w:themeColor="background1" w:themeShade="80"/>
              <w:right w:val="single" w:sz="2" w:space="0" w:color="808080" w:themeColor="background1" w:themeShade="80"/>
            </w:tcBorders>
            <w:shd w:val="clear" w:color="auto" w:fill="FDE9D9" w:themeFill="accent6" w:themeFillTint="33"/>
            <w:hideMark/>
          </w:tcPr>
          <w:p w:rsidR="00355749" w:rsidRDefault="00355749" w:rsidP="00B05E9E">
            <w:pPr>
              <w:pStyle w:val="NormalWeb"/>
              <w:jc w:val="center"/>
            </w:pPr>
            <w:r>
              <w:t>138</w:t>
            </w:r>
          </w:p>
        </w:tc>
        <w:tc>
          <w:tcPr>
            <w:tcW w:w="915" w:type="dxa"/>
            <w:tcBorders>
              <w:left w:val="single" w:sz="2" w:space="0" w:color="808080" w:themeColor="background1" w:themeShade="80"/>
              <w:right w:val="single" w:sz="2" w:space="0" w:color="808080" w:themeColor="background1" w:themeShade="80"/>
            </w:tcBorders>
            <w:shd w:val="clear" w:color="auto" w:fill="FDE9D9" w:themeFill="accent6" w:themeFillTint="33"/>
            <w:hideMark/>
          </w:tcPr>
          <w:p w:rsidR="00355749" w:rsidRDefault="00355749" w:rsidP="00B05E9E">
            <w:pPr>
              <w:pStyle w:val="NormalWeb"/>
              <w:jc w:val="center"/>
            </w:pPr>
            <w:r>
              <w:t>2.6</w:t>
            </w:r>
          </w:p>
        </w:tc>
        <w:tc>
          <w:tcPr>
            <w:tcW w:w="915" w:type="dxa"/>
            <w:tcBorders>
              <w:left w:val="single" w:sz="2" w:space="0" w:color="808080" w:themeColor="background1" w:themeShade="80"/>
              <w:right w:val="single" w:sz="2" w:space="0" w:color="808080" w:themeColor="background1" w:themeShade="80"/>
            </w:tcBorders>
            <w:shd w:val="clear" w:color="auto" w:fill="FDE9D9" w:themeFill="accent6" w:themeFillTint="33"/>
            <w:hideMark/>
          </w:tcPr>
          <w:p w:rsidR="00355749" w:rsidRDefault="00355749" w:rsidP="00B05E9E">
            <w:pPr>
              <w:pStyle w:val="NormalWeb"/>
              <w:jc w:val="center"/>
            </w:pPr>
            <w:r>
              <w:t>318</w:t>
            </w:r>
          </w:p>
        </w:tc>
        <w:tc>
          <w:tcPr>
            <w:tcW w:w="916" w:type="dxa"/>
            <w:tcBorders>
              <w:left w:val="single" w:sz="2" w:space="0" w:color="808080" w:themeColor="background1" w:themeShade="80"/>
              <w:right w:val="single" w:sz="2" w:space="0" w:color="808080" w:themeColor="background1" w:themeShade="80"/>
            </w:tcBorders>
            <w:shd w:val="clear" w:color="auto" w:fill="FDE9D9" w:themeFill="accent6" w:themeFillTint="33"/>
            <w:hideMark/>
          </w:tcPr>
          <w:p w:rsidR="00355749" w:rsidRDefault="00355749" w:rsidP="00B05E9E">
            <w:pPr>
              <w:pStyle w:val="NormalWeb"/>
              <w:jc w:val="center"/>
            </w:pPr>
            <w:r>
              <w:t>5.0</w:t>
            </w:r>
          </w:p>
        </w:tc>
        <w:tc>
          <w:tcPr>
            <w:tcW w:w="915" w:type="dxa"/>
            <w:tcBorders>
              <w:left w:val="single" w:sz="2" w:space="0" w:color="808080" w:themeColor="background1" w:themeShade="80"/>
              <w:right w:val="single" w:sz="2" w:space="0" w:color="808080" w:themeColor="background1" w:themeShade="80"/>
            </w:tcBorders>
            <w:shd w:val="clear" w:color="auto" w:fill="FDE9D9" w:themeFill="accent6" w:themeFillTint="33"/>
            <w:hideMark/>
          </w:tcPr>
          <w:p w:rsidR="00355749" w:rsidRDefault="00355749" w:rsidP="00B05E9E">
            <w:pPr>
              <w:pStyle w:val="NormalWeb"/>
              <w:jc w:val="center"/>
            </w:pPr>
            <w:r>
              <w:t>726</w:t>
            </w:r>
          </w:p>
        </w:tc>
        <w:tc>
          <w:tcPr>
            <w:tcW w:w="915" w:type="dxa"/>
            <w:tcBorders>
              <w:left w:val="single" w:sz="2" w:space="0" w:color="808080" w:themeColor="background1" w:themeShade="80"/>
              <w:right w:val="single" w:sz="2" w:space="0" w:color="808080" w:themeColor="background1" w:themeShade="80"/>
            </w:tcBorders>
            <w:shd w:val="clear" w:color="auto" w:fill="FDE9D9" w:themeFill="accent6" w:themeFillTint="33"/>
            <w:hideMark/>
          </w:tcPr>
          <w:p w:rsidR="00355749" w:rsidRDefault="00355749" w:rsidP="00B05E9E">
            <w:pPr>
              <w:pStyle w:val="NormalWeb"/>
              <w:jc w:val="center"/>
            </w:pPr>
            <w:r>
              <w:t>9.3</w:t>
            </w:r>
          </w:p>
        </w:tc>
        <w:tc>
          <w:tcPr>
            <w:tcW w:w="915" w:type="dxa"/>
            <w:tcBorders>
              <w:left w:val="single" w:sz="2" w:space="0" w:color="808080" w:themeColor="background1" w:themeShade="80"/>
              <w:right w:val="single" w:sz="2" w:space="0" w:color="808080" w:themeColor="background1" w:themeShade="80"/>
            </w:tcBorders>
            <w:shd w:val="clear" w:color="auto" w:fill="FDE9D9" w:themeFill="accent6" w:themeFillTint="33"/>
            <w:hideMark/>
          </w:tcPr>
          <w:p w:rsidR="00355749" w:rsidRDefault="00355749" w:rsidP="00B05E9E">
            <w:pPr>
              <w:pStyle w:val="NormalWeb"/>
              <w:jc w:val="center"/>
            </w:pPr>
            <w:r>
              <w:t>561</w:t>
            </w:r>
          </w:p>
        </w:tc>
        <w:tc>
          <w:tcPr>
            <w:tcW w:w="916" w:type="dxa"/>
            <w:tcBorders>
              <w:left w:val="single" w:sz="2" w:space="0" w:color="808080" w:themeColor="background1" w:themeShade="80"/>
            </w:tcBorders>
            <w:shd w:val="clear" w:color="auto" w:fill="FDE9D9" w:themeFill="accent6" w:themeFillTint="33"/>
            <w:hideMark/>
          </w:tcPr>
          <w:p w:rsidR="00355749" w:rsidRDefault="00355749" w:rsidP="00B05E9E">
            <w:pPr>
              <w:pStyle w:val="NormalWeb"/>
              <w:jc w:val="center"/>
            </w:pPr>
            <w:r>
              <w:t>6.2</w:t>
            </w:r>
          </w:p>
        </w:tc>
      </w:tr>
    </w:tbl>
    <w:p w:rsidR="00FF592D" w:rsidRDefault="00FF592D" w:rsidP="00FC3C3B">
      <w:pPr>
        <w:pStyle w:val="Heading2"/>
        <w:sectPr w:rsidR="00FF592D" w:rsidSect="00FF592D">
          <w:pgSz w:w="16838" w:h="11906" w:orient="landscape"/>
          <w:pgMar w:top="720" w:right="720" w:bottom="720" w:left="1134" w:header="709" w:footer="284" w:gutter="0"/>
          <w:cols w:space="708"/>
          <w:titlePg/>
          <w:docGrid w:linePitch="360"/>
        </w:sectPr>
      </w:pPr>
    </w:p>
    <w:p w:rsidR="00355749" w:rsidRPr="00FC3C3B" w:rsidRDefault="00355749" w:rsidP="00FC3C3B">
      <w:pPr>
        <w:pStyle w:val="Heading2"/>
      </w:pPr>
      <w:r w:rsidRPr="00FC3C3B">
        <w:lastRenderedPageBreak/>
        <w:t xml:space="preserve">Penicillin </w:t>
      </w:r>
    </w:p>
    <w:p w:rsidR="00355749" w:rsidRDefault="00355749" w:rsidP="00FC3C3B">
      <w:r>
        <w:t xml:space="preserve">Resistance to the penicillin group of antibiotics (penicillin, ampicillin and </w:t>
      </w:r>
      <w:proofErr w:type="spellStart"/>
      <w:r>
        <w:t>amoxycillin</w:t>
      </w:r>
      <w:proofErr w:type="spellEnd"/>
      <w:r>
        <w:t xml:space="preserve"> with or without clavulanic acid) in NG results from ß-lactamase production (i.e., </w:t>
      </w:r>
      <w:proofErr w:type="spellStart"/>
      <w:r>
        <w:t>penicillinase</w:t>
      </w:r>
      <w:proofErr w:type="spellEnd"/>
      <w:r>
        <w:t xml:space="preserve">) and/or the aggregation of chromosomally-controlled resistance mechanisms. These are denoted respectively as </w:t>
      </w:r>
      <w:proofErr w:type="spellStart"/>
      <w:r>
        <w:t>penicillinase</w:t>
      </w:r>
      <w:proofErr w:type="spellEnd"/>
      <w:r>
        <w:t xml:space="preserve">-producing </w:t>
      </w:r>
      <w:r w:rsidRPr="00F458E5">
        <w:rPr>
          <w:rStyle w:val="Emphasis"/>
          <w:b w:val="0"/>
        </w:rPr>
        <w:t xml:space="preserve">N. </w:t>
      </w:r>
      <w:proofErr w:type="spellStart"/>
      <w:r w:rsidRPr="00F458E5">
        <w:rPr>
          <w:rStyle w:val="Emphasis"/>
          <w:b w:val="0"/>
        </w:rPr>
        <w:t>gonorrhoeae</w:t>
      </w:r>
      <w:proofErr w:type="spellEnd"/>
      <w:r>
        <w:t xml:space="preserve"> (PPNG) and chromosomally mediated resistance to</w:t>
      </w:r>
      <w:r w:rsidRPr="00F458E5">
        <w:rPr>
          <w:rStyle w:val="Emphasis"/>
          <w:b w:val="0"/>
        </w:rPr>
        <w:t xml:space="preserve"> </w:t>
      </w:r>
      <w:r>
        <w:t>penicillin (CMRP). Chromosomal resistance is</w:t>
      </w:r>
      <w:r w:rsidR="008275DA">
        <w:t xml:space="preserve"> defined as a penicillin MIC</w:t>
      </w:r>
      <w:r w:rsidR="00517B1A">
        <w:t xml:space="preserve"> value</w:t>
      </w:r>
      <w:r w:rsidR="00A26646">
        <w:t> </w:t>
      </w:r>
      <w:r w:rsidR="008275DA">
        <w:t>≥1</w:t>
      </w:r>
      <w:r w:rsidR="00E9555D">
        <w:t> </w:t>
      </w:r>
      <w:r>
        <w:t xml:space="preserve">mg/L. </w:t>
      </w:r>
    </w:p>
    <w:p w:rsidR="00355749" w:rsidRDefault="00355749" w:rsidP="00FC3C3B">
      <w:r>
        <w:t xml:space="preserve">In 2018, in Australia, 1,897 (21.1%) isolates were penicillin resistant, a proportional decrease from 2016 (32.5%), and 2017 (26.1%). The proportion of penicillin-resistant isolates fluctuated in the range 22.5 to 44% between 2008 and 2017. In 2018, a total of 1,004 (11.3%) isolates had CMRP and 893 (10.0%) were PPNG; 47.1% of penicillin-resistant isolates were PPNG. </w:t>
      </w:r>
    </w:p>
    <w:p w:rsidR="00355749" w:rsidRPr="00FC3C3B" w:rsidRDefault="00355749" w:rsidP="00FC3C3B">
      <w:pPr>
        <w:pStyle w:val="Heading3"/>
      </w:pPr>
      <w:r w:rsidRPr="00FC3C3B">
        <w:t xml:space="preserve">Penicillin resistance in remote Australia </w:t>
      </w:r>
    </w:p>
    <w:p w:rsidR="00355749" w:rsidRDefault="00355749" w:rsidP="00FC3C3B">
      <w:r>
        <w:t xml:space="preserve">In 2018, there were 225 isolates tested from the Northern Territory with 157 derived from remote areas of NT (including Alice Springs, Katherine, Tennant Creek, and Arnhem Land region) and 68 from Darwin and surrounding urban areas (non-remote). In 2018, a total of 760 isolates were tested from Western Australia, with 108 obtained from remote regions and 652 from urban and suburban Perth (non-remote). </w:t>
      </w:r>
    </w:p>
    <w:p w:rsidR="00355749" w:rsidRDefault="00355749" w:rsidP="00FC3C3B">
      <w:r>
        <w:t xml:space="preserve">Of the 157 isolates from remote NT, only 3 (1.9%) were penicillin resistant (1 was PPNG). 6 isolates (8.8%) from Darwin and surrounding urban areas were penicillin resistant (4 were PPNG) (Table 3). Of the 108 isolates from remote Western Australia, 7 (6.5%) were penicillin resistant, with 6 being PPNG. No isolate from remote NT or WA demonstrated decreased susceptibility to ceftriaxone. </w:t>
      </w:r>
    </w:p>
    <w:p w:rsidR="00355749" w:rsidRPr="00FC3C3B" w:rsidRDefault="00355749" w:rsidP="00FC3C3B">
      <w:pPr>
        <w:pStyle w:val="Heading2"/>
      </w:pPr>
      <w:r w:rsidRPr="00FC3C3B">
        <w:t xml:space="preserve">Quinolones </w:t>
      </w:r>
    </w:p>
    <w:p w:rsidR="00355749" w:rsidRDefault="00355749" w:rsidP="00FC3C3B">
      <w:r>
        <w:t xml:space="preserve">The AGSP uses ciprofloxacin as the representative quinolone. Ciprofloxacin resistance is defined as MIC ≥1 mg/L. In 2018, there were 2,303 </w:t>
      </w:r>
      <w:r w:rsidR="000348B5">
        <w:t>ciprofloxacin resistant</w:t>
      </w:r>
      <w:r>
        <w:t xml:space="preserve"> isolates (25.6%) (Table 3). Since 2008, when 54% of isolates tested ciprofloxacin resistant, the resistance rate has progressively declined. </w:t>
      </w:r>
    </w:p>
    <w:p w:rsidR="00355749" w:rsidRPr="00FC3C3B" w:rsidRDefault="00355749" w:rsidP="00FC3C3B">
      <w:pPr>
        <w:pStyle w:val="Heading2"/>
      </w:pPr>
      <w:proofErr w:type="spellStart"/>
      <w:r w:rsidRPr="00FC3C3B">
        <w:t>Tetracyclines</w:t>
      </w:r>
      <w:proofErr w:type="spellEnd"/>
      <w:r w:rsidRPr="00FC3C3B">
        <w:t xml:space="preserve"> </w:t>
      </w:r>
    </w:p>
    <w:p w:rsidR="00E45C2C" w:rsidRDefault="00355749" w:rsidP="00FC3C3B">
      <w:pPr>
        <w:sectPr w:rsidR="00E45C2C" w:rsidSect="00A30C37">
          <w:pgSz w:w="11906" w:h="16838"/>
          <w:pgMar w:top="720" w:right="720" w:bottom="1134" w:left="720" w:header="709" w:footer="284" w:gutter="0"/>
          <w:cols w:space="708"/>
          <w:titlePg/>
          <w:docGrid w:linePitch="360"/>
        </w:sectPr>
      </w:pPr>
      <w:r>
        <w:t>To facilitate accurate reporting of NG tetracycline resistance in Australia, from 2018 NNN reference laboratories have performed tetracycline MIC testing where possible. This replaces historical testing for high level tetracycline testing which was reported by the NNN as an epidemiological marker for plasmid mediated resistance since inception. Tetracycline resistance is define</w:t>
      </w:r>
      <w:r w:rsidR="00517B1A">
        <w:t xml:space="preserve">d as an MIC Value </w:t>
      </w:r>
      <w:r>
        <w:t xml:space="preserve">≥2 mg/L and utilises various mechanisms including plasmid-mediated resistance. The previously employed methods only detected high-level plasmid-mediated tetracycline-resistant </w:t>
      </w:r>
      <w:r w:rsidRPr="00F458E5">
        <w:rPr>
          <w:rStyle w:val="Emphasis"/>
          <w:b w:val="0"/>
        </w:rPr>
        <w:t xml:space="preserve">N. </w:t>
      </w:r>
      <w:proofErr w:type="spellStart"/>
      <w:r w:rsidRPr="00F458E5">
        <w:rPr>
          <w:rStyle w:val="Emphasis"/>
          <w:b w:val="0"/>
        </w:rPr>
        <w:t>gonorrhoeae</w:t>
      </w:r>
      <w:proofErr w:type="spellEnd"/>
      <w:r w:rsidRPr="00F458E5">
        <w:rPr>
          <w:rStyle w:val="Emphasis"/>
          <w:b w:val="0"/>
        </w:rPr>
        <w:t xml:space="preserve"> </w:t>
      </w:r>
      <w:r>
        <w:t xml:space="preserve">(TRNG) (MIC value ≥16 mg/L). Whilst </w:t>
      </w:r>
      <w:proofErr w:type="spellStart"/>
      <w:r>
        <w:t>tetracyclines</w:t>
      </w:r>
      <w:proofErr w:type="spellEnd"/>
      <w:r>
        <w:t xml:space="preserve"> are not a recommended treatment for gonorrhoea and are rarely, if ever, used for treatment of gonorrhoea in Australia, there has been recent interest in the proportion of tetracycline resistance. Nationally, 2,493 isolates were tested and 32% (797/2,493) were tetracycline resistant. Tetracycline resistance data are presented by jurisdiction and aggregated for Australia as shown in Table 7.</w:t>
      </w:r>
    </w:p>
    <w:p w:rsidR="00355749" w:rsidRDefault="00355749" w:rsidP="00E45C2C">
      <w:pPr>
        <w:pStyle w:val="CDIFigures"/>
      </w:pPr>
      <w:r>
        <w:lastRenderedPageBreak/>
        <w:t>Table 7: Number and proportion (%) of gonococcal isolates with resistance to tetracycline (MIC ≥2 mg/L), Australia, 2018, by state or territory</w:t>
      </w:r>
    </w:p>
    <w:tbl>
      <w:tblPr>
        <w:tblStyle w:val="CDI-StandardTable"/>
        <w:tblW w:w="0" w:type="auto"/>
        <w:tblCellMar>
          <w:top w:w="113" w:type="dxa"/>
          <w:left w:w="113" w:type="dxa"/>
          <w:bottom w:w="113" w:type="dxa"/>
          <w:right w:w="113" w:type="dxa"/>
        </w:tblCellMar>
        <w:tblLook w:val="04A0" w:firstRow="1" w:lastRow="0" w:firstColumn="1" w:lastColumn="0" w:noHBand="0" w:noVBand="1"/>
        <w:tblDescription w:val="shows the number and proportion as a percentage of gonococcal isolates with resistance to tetracycline (MIC ≥2mg/L) in 2018 in Australia, by state or territory, where testing was available. The data represents tetracycline resistance (TetR), by mechanisms not limited solely to high level plasmid-mediated resistance."/>
      </w:tblPr>
      <w:tblGrid>
        <w:gridCol w:w="3147"/>
        <w:gridCol w:w="3651"/>
        <w:gridCol w:w="1826"/>
        <w:gridCol w:w="1826"/>
      </w:tblGrid>
      <w:tr w:rsidR="00355749" w:rsidTr="004B4745">
        <w:trPr>
          <w:cnfStyle w:val="100000000000" w:firstRow="1" w:lastRow="0" w:firstColumn="0" w:lastColumn="0" w:oddVBand="0" w:evenVBand="0" w:oddHBand="0" w:evenHBand="0" w:firstRowFirstColumn="0" w:firstRowLastColumn="0" w:lastRowFirstColumn="0" w:lastRowLastColumn="0"/>
          <w:tblHeader/>
        </w:trPr>
        <w:tc>
          <w:tcPr>
            <w:tcW w:w="0" w:type="auto"/>
            <w:vMerge w:val="restart"/>
            <w:tcBorders>
              <w:bottom w:val="single" w:sz="2" w:space="0" w:color="FFFFFF" w:themeColor="background1"/>
              <w:right w:val="single" w:sz="2" w:space="0" w:color="FFFFFF" w:themeColor="background1"/>
            </w:tcBorders>
            <w:hideMark/>
          </w:tcPr>
          <w:p w:rsidR="00355749" w:rsidRPr="006D53C7" w:rsidRDefault="00355749">
            <w:pPr>
              <w:pStyle w:val="NormalWeb"/>
              <w:rPr>
                <w:color w:val="FFFFFF" w:themeColor="background1"/>
              </w:rPr>
            </w:pPr>
            <w:r w:rsidRPr="006D53C7">
              <w:rPr>
                <w:color w:val="FFFFFF" w:themeColor="background1"/>
              </w:rPr>
              <w:t>State or Territory</w:t>
            </w:r>
          </w:p>
        </w:tc>
        <w:tc>
          <w:tcPr>
            <w:tcW w:w="3651" w:type="dxa"/>
            <w:tcBorders>
              <w:left w:val="single" w:sz="2" w:space="0" w:color="FFFFFF" w:themeColor="background1"/>
              <w:bottom w:val="single" w:sz="2" w:space="0" w:color="FFFFFF" w:themeColor="background1"/>
              <w:right w:val="single" w:sz="2" w:space="0" w:color="FFFFFF" w:themeColor="background1"/>
            </w:tcBorders>
            <w:hideMark/>
          </w:tcPr>
          <w:p w:rsidR="00355749" w:rsidRPr="006D53C7" w:rsidRDefault="00355749" w:rsidP="00EB513E">
            <w:pPr>
              <w:pStyle w:val="NormalWeb"/>
              <w:jc w:val="center"/>
              <w:rPr>
                <w:color w:val="FFFFFF" w:themeColor="background1"/>
              </w:rPr>
            </w:pPr>
            <w:r w:rsidRPr="006D53C7">
              <w:rPr>
                <w:color w:val="FFFFFF" w:themeColor="background1"/>
              </w:rPr>
              <w:t>Number of isolates tested</w:t>
            </w:r>
          </w:p>
        </w:tc>
        <w:tc>
          <w:tcPr>
            <w:tcW w:w="3652" w:type="dxa"/>
            <w:gridSpan w:val="2"/>
            <w:tcBorders>
              <w:left w:val="single" w:sz="2" w:space="0" w:color="FFFFFF" w:themeColor="background1"/>
              <w:bottom w:val="single" w:sz="2" w:space="0" w:color="FFFFFF" w:themeColor="background1"/>
            </w:tcBorders>
            <w:hideMark/>
          </w:tcPr>
          <w:p w:rsidR="00355749" w:rsidRPr="006D53C7" w:rsidRDefault="00355749" w:rsidP="00EB513E">
            <w:pPr>
              <w:pStyle w:val="NormalWeb"/>
              <w:jc w:val="center"/>
              <w:rPr>
                <w:color w:val="FFFFFF" w:themeColor="background1"/>
              </w:rPr>
            </w:pPr>
            <w:r w:rsidRPr="006D53C7">
              <w:rPr>
                <w:color w:val="FFFFFF" w:themeColor="background1"/>
              </w:rPr>
              <w:t>Resistance MIC ≥2 mg/L</w:t>
            </w:r>
          </w:p>
        </w:tc>
      </w:tr>
      <w:tr w:rsidR="00355749" w:rsidTr="004B4745">
        <w:trPr>
          <w:cnfStyle w:val="100000000000" w:firstRow="1" w:lastRow="0" w:firstColumn="0" w:lastColumn="0" w:oddVBand="0" w:evenVBand="0" w:oddHBand="0" w:evenHBand="0" w:firstRowFirstColumn="0" w:firstRowLastColumn="0" w:lastRowFirstColumn="0" w:lastRowLastColumn="0"/>
          <w:tblHeader/>
        </w:trPr>
        <w:tc>
          <w:tcPr>
            <w:tcW w:w="0" w:type="auto"/>
            <w:vMerge/>
            <w:tcBorders>
              <w:top w:val="single" w:sz="2" w:space="0" w:color="FFFFFF" w:themeColor="background1"/>
              <w:bottom w:val="single" w:sz="2" w:space="0" w:color="FFFFFF" w:themeColor="background1"/>
              <w:right w:val="single" w:sz="2" w:space="0" w:color="FFFFFF" w:themeColor="background1"/>
            </w:tcBorders>
            <w:hideMark/>
          </w:tcPr>
          <w:p w:rsidR="00355749" w:rsidRPr="006D53C7" w:rsidRDefault="00355749">
            <w:pPr>
              <w:rPr>
                <w:color w:val="FFFFFF" w:themeColor="background1"/>
                <w:sz w:val="24"/>
                <w:szCs w:val="24"/>
              </w:rPr>
            </w:pPr>
          </w:p>
        </w:tc>
        <w:tc>
          <w:tcPr>
            <w:tcW w:w="3651"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hideMark/>
          </w:tcPr>
          <w:p w:rsidR="00355749" w:rsidRPr="006D53C7" w:rsidRDefault="00355749" w:rsidP="00EB513E">
            <w:pPr>
              <w:pStyle w:val="NormalWeb"/>
              <w:jc w:val="center"/>
              <w:rPr>
                <w:color w:val="FFFFFF" w:themeColor="background1"/>
              </w:rPr>
            </w:pPr>
            <w:r w:rsidRPr="006D53C7">
              <w:rPr>
                <w:color w:val="FFFFFF" w:themeColor="background1"/>
              </w:rPr>
              <w:t>2018</w:t>
            </w:r>
          </w:p>
        </w:tc>
        <w:tc>
          <w:tcPr>
            <w:tcW w:w="3652" w:type="dxa"/>
            <w:gridSpan w:val="2"/>
            <w:tcBorders>
              <w:top w:val="single" w:sz="2" w:space="0" w:color="FFFFFF" w:themeColor="background1"/>
              <w:left w:val="single" w:sz="2" w:space="0" w:color="FFFFFF" w:themeColor="background1"/>
              <w:bottom w:val="single" w:sz="2" w:space="0" w:color="FFFFFF" w:themeColor="background1"/>
            </w:tcBorders>
            <w:hideMark/>
          </w:tcPr>
          <w:p w:rsidR="00355749" w:rsidRPr="006D53C7" w:rsidRDefault="00355749" w:rsidP="00EB513E">
            <w:pPr>
              <w:pStyle w:val="NormalWeb"/>
              <w:jc w:val="center"/>
              <w:rPr>
                <w:color w:val="FFFFFF" w:themeColor="background1"/>
              </w:rPr>
            </w:pPr>
            <w:r w:rsidRPr="006D53C7">
              <w:rPr>
                <w:color w:val="FFFFFF" w:themeColor="background1"/>
              </w:rPr>
              <w:t>Tetracycline</w:t>
            </w:r>
          </w:p>
        </w:tc>
      </w:tr>
      <w:tr w:rsidR="00355749" w:rsidTr="00333882">
        <w:trPr>
          <w:cnfStyle w:val="100000000000" w:firstRow="1" w:lastRow="0" w:firstColumn="0" w:lastColumn="0" w:oddVBand="0" w:evenVBand="0" w:oddHBand="0" w:evenHBand="0" w:firstRowFirstColumn="0" w:firstRowLastColumn="0" w:lastRowFirstColumn="0" w:lastRowLastColumn="0"/>
          <w:tblHeader/>
        </w:trPr>
        <w:tc>
          <w:tcPr>
            <w:tcW w:w="0" w:type="auto"/>
            <w:vMerge/>
            <w:tcBorders>
              <w:top w:val="single" w:sz="2" w:space="0" w:color="FFFFFF" w:themeColor="background1"/>
              <w:right w:val="single" w:sz="2" w:space="0" w:color="FFFFFF" w:themeColor="background1"/>
            </w:tcBorders>
            <w:hideMark/>
          </w:tcPr>
          <w:p w:rsidR="00355749" w:rsidRPr="006D53C7" w:rsidRDefault="00355749">
            <w:pPr>
              <w:rPr>
                <w:color w:val="FFFFFF" w:themeColor="background1"/>
                <w:sz w:val="24"/>
                <w:szCs w:val="24"/>
              </w:rPr>
            </w:pPr>
          </w:p>
        </w:tc>
        <w:tc>
          <w:tcPr>
            <w:tcW w:w="3651" w:type="dxa"/>
            <w:tcBorders>
              <w:top w:val="single" w:sz="2" w:space="0" w:color="FFFFFF" w:themeColor="background1"/>
              <w:left w:val="single" w:sz="2" w:space="0" w:color="FFFFFF" w:themeColor="background1"/>
              <w:right w:val="single" w:sz="2" w:space="0" w:color="FFFFFF" w:themeColor="background1"/>
            </w:tcBorders>
            <w:hideMark/>
          </w:tcPr>
          <w:p w:rsidR="00355749" w:rsidRPr="006D53C7" w:rsidRDefault="00355749" w:rsidP="00EB513E">
            <w:pPr>
              <w:jc w:val="center"/>
              <w:rPr>
                <w:color w:val="FFFFFF" w:themeColor="background1"/>
              </w:rPr>
            </w:pPr>
          </w:p>
        </w:tc>
        <w:tc>
          <w:tcPr>
            <w:tcW w:w="1826" w:type="dxa"/>
            <w:tcBorders>
              <w:top w:val="single" w:sz="2" w:space="0" w:color="FFFFFF" w:themeColor="background1"/>
              <w:left w:val="single" w:sz="2" w:space="0" w:color="FFFFFF" w:themeColor="background1"/>
              <w:right w:val="single" w:sz="2" w:space="0" w:color="FFFFFF" w:themeColor="background1"/>
            </w:tcBorders>
            <w:hideMark/>
          </w:tcPr>
          <w:p w:rsidR="00355749" w:rsidRPr="006D53C7" w:rsidRDefault="00355749" w:rsidP="00EB513E">
            <w:pPr>
              <w:pStyle w:val="NormalWeb"/>
              <w:jc w:val="center"/>
              <w:rPr>
                <w:color w:val="FFFFFF" w:themeColor="background1"/>
                <w:sz w:val="24"/>
                <w:szCs w:val="24"/>
              </w:rPr>
            </w:pPr>
            <w:r w:rsidRPr="006D53C7">
              <w:rPr>
                <w:color w:val="FFFFFF" w:themeColor="background1"/>
              </w:rPr>
              <w:t>n</w:t>
            </w:r>
          </w:p>
        </w:tc>
        <w:tc>
          <w:tcPr>
            <w:tcW w:w="1826" w:type="dxa"/>
            <w:tcBorders>
              <w:top w:val="single" w:sz="2" w:space="0" w:color="FFFFFF" w:themeColor="background1"/>
              <w:left w:val="single" w:sz="2" w:space="0" w:color="FFFFFF" w:themeColor="background1"/>
            </w:tcBorders>
            <w:hideMark/>
          </w:tcPr>
          <w:p w:rsidR="00355749" w:rsidRPr="006D53C7" w:rsidRDefault="00355749" w:rsidP="00EB513E">
            <w:pPr>
              <w:pStyle w:val="NormalWeb"/>
              <w:jc w:val="center"/>
              <w:rPr>
                <w:color w:val="FFFFFF" w:themeColor="background1"/>
              </w:rPr>
            </w:pPr>
            <w:r w:rsidRPr="006D53C7">
              <w:rPr>
                <w:color w:val="FFFFFF" w:themeColor="background1"/>
              </w:rPr>
              <w:t>%</w:t>
            </w:r>
          </w:p>
        </w:tc>
      </w:tr>
      <w:tr w:rsidR="00355749" w:rsidTr="00333882">
        <w:tc>
          <w:tcPr>
            <w:tcW w:w="0" w:type="auto"/>
            <w:hideMark/>
          </w:tcPr>
          <w:p w:rsidR="00355749" w:rsidRDefault="00355749">
            <w:pPr>
              <w:pStyle w:val="NormalWeb"/>
            </w:pPr>
            <w:r>
              <w:t>Australian Capital Territory</w:t>
            </w:r>
          </w:p>
        </w:tc>
        <w:tc>
          <w:tcPr>
            <w:tcW w:w="3651" w:type="dxa"/>
            <w:hideMark/>
          </w:tcPr>
          <w:p w:rsidR="00355749" w:rsidRDefault="00355749" w:rsidP="00EB513E">
            <w:pPr>
              <w:pStyle w:val="NormalWeb"/>
              <w:jc w:val="center"/>
            </w:pPr>
            <w:r>
              <w:t>190</w:t>
            </w:r>
          </w:p>
        </w:tc>
        <w:tc>
          <w:tcPr>
            <w:tcW w:w="1826" w:type="dxa"/>
            <w:hideMark/>
          </w:tcPr>
          <w:p w:rsidR="00355749" w:rsidRDefault="00355749" w:rsidP="00EB513E">
            <w:pPr>
              <w:pStyle w:val="NormalWeb"/>
              <w:jc w:val="center"/>
            </w:pPr>
            <w:r>
              <w:t>16</w:t>
            </w:r>
          </w:p>
        </w:tc>
        <w:tc>
          <w:tcPr>
            <w:tcW w:w="1826" w:type="dxa"/>
            <w:hideMark/>
          </w:tcPr>
          <w:p w:rsidR="00355749" w:rsidRDefault="00355749" w:rsidP="00EB513E">
            <w:pPr>
              <w:pStyle w:val="NormalWeb"/>
              <w:jc w:val="center"/>
            </w:pPr>
            <w:r>
              <w:t>8.4</w:t>
            </w:r>
          </w:p>
        </w:tc>
      </w:tr>
      <w:tr w:rsidR="00355749" w:rsidTr="00333882">
        <w:trPr>
          <w:cnfStyle w:val="000000010000" w:firstRow="0" w:lastRow="0" w:firstColumn="0" w:lastColumn="0" w:oddVBand="0" w:evenVBand="0" w:oddHBand="0" w:evenHBand="1" w:firstRowFirstColumn="0" w:firstRowLastColumn="0" w:lastRowFirstColumn="0" w:lastRowLastColumn="0"/>
        </w:trPr>
        <w:tc>
          <w:tcPr>
            <w:tcW w:w="0" w:type="auto"/>
            <w:hideMark/>
          </w:tcPr>
          <w:p w:rsidR="00355749" w:rsidRDefault="00355749">
            <w:pPr>
              <w:pStyle w:val="NormalWeb"/>
            </w:pPr>
            <w:r>
              <w:t>New South Wales</w:t>
            </w:r>
          </w:p>
        </w:tc>
        <w:tc>
          <w:tcPr>
            <w:tcW w:w="3651" w:type="dxa"/>
            <w:hideMark/>
          </w:tcPr>
          <w:p w:rsidR="00355749" w:rsidRDefault="00355749" w:rsidP="00EB513E">
            <w:pPr>
              <w:pStyle w:val="NormalWeb"/>
              <w:jc w:val="center"/>
            </w:pPr>
            <w:r>
              <w:t>88</w:t>
            </w:r>
          </w:p>
        </w:tc>
        <w:tc>
          <w:tcPr>
            <w:tcW w:w="1826" w:type="dxa"/>
            <w:hideMark/>
          </w:tcPr>
          <w:p w:rsidR="00355749" w:rsidRDefault="00355749" w:rsidP="00EB513E">
            <w:pPr>
              <w:pStyle w:val="NormalWeb"/>
              <w:jc w:val="center"/>
            </w:pPr>
            <w:r>
              <w:t>59</w:t>
            </w:r>
          </w:p>
        </w:tc>
        <w:tc>
          <w:tcPr>
            <w:tcW w:w="1826" w:type="dxa"/>
            <w:hideMark/>
          </w:tcPr>
          <w:p w:rsidR="00355749" w:rsidRDefault="00355749" w:rsidP="00EB513E">
            <w:pPr>
              <w:pStyle w:val="NormalWeb"/>
              <w:jc w:val="center"/>
            </w:pPr>
            <w:r>
              <w:t>67.0</w:t>
            </w:r>
          </w:p>
        </w:tc>
      </w:tr>
      <w:tr w:rsidR="00355749" w:rsidTr="00333882">
        <w:tc>
          <w:tcPr>
            <w:tcW w:w="0" w:type="auto"/>
            <w:hideMark/>
          </w:tcPr>
          <w:p w:rsidR="00355749" w:rsidRDefault="00355749">
            <w:pPr>
              <w:pStyle w:val="NormalWeb"/>
            </w:pPr>
            <w:r>
              <w:t>Queensland</w:t>
            </w:r>
          </w:p>
        </w:tc>
        <w:tc>
          <w:tcPr>
            <w:tcW w:w="3651" w:type="dxa"/>
            <w:hideMark/>
          </w:tcPr>
          <w:p w:rsidR="00355749" w:rsidRDefault="00355749" w:rsidP="00EB513E">
            <w:pPr>
              <w:pStyle w:val="NormalWeb"/>
              <w:jc w:val="center"/>
            </w:pPr>
            <w:r>
              <w:t>3</w:t>
            </w:r>
          </w:p>
        </w:tc>
        <w:tc>
          <w:tcPr>
            <w:tcW w:w="1826" w:type="dxa"/>
            <w:hideMark/>
          </w:tcPr>
          <w:p w:rsidR="00355749" w:rsidRDefault="00355749" w:rsidP="00EB513E">
            <w:pPr>
              <w:pStyle w:val="NormalWeb"/>
              <w:jc w:val="center"/>
            </w:pPr>
            <w:r>
              <w:t>2</w:t>
            </w:r>
          </w:p>
        </w:tc>
        <w:tc>
          <w:tcPr>
            <w:tcW w:w="1826" w:type="dxa"/>
            <w:hideMark/>
          </w:tcPr>
          <w:p w:rsidR="00355749" w:rsidRDefault="00355749" w:rsidP="00EB513E">
            <w:pPr>
              <w:pStyle w:val="NormalWeb"/>
              <w:jc w:val="center"/>
            </w:pPr>
            <w:r>
              <w:t>66.7</w:t>
            </w:r>
          </w:p>
        </w:tc>
      </w:tr>
      <w:tr w:rsidR="00355749" w:rsidTr="00333882">
        <w:trPr>
          <w:cnfStyle w:val="000000010000" w:firstRow="0" w:lastRow="0" w:firstColumn="0" w:lastColumn="0" w:oddVBand="0" w:evenVBand="0" w:oddHBand="0" w:evenHBand="1" w:firstRowFirstColumn="0" w:firstRowLastColumn="0" w:lastRowFirstColumn="0" w:lastRowLastColumn="0"/>
        </w:trPr>
        <w:tc>
          <w:tcPr>
            <w:tcW w:w="0" w:type="auto"/>
            <w:hideMark/>
          </w:tcPr>
          <w:p w:rsidR="00355749" w:rsidRDefault="00355749">
            <w:pPr>
              <w:pStyle w:val="NormalWeb"/>
            </w:pPr>
            <w:r>
              <w:t>South Australia</w:t>
            </w:r>
          </w:p>
        </w:tc>
        <w:tc>
          <w:tcPr>
            <w:tcW w:w="3651" w:type="dxa"/>
            <w:hideMark/>
          </w:tcPr>
          <w:p w:rsidR="00355749" w:rsidRDefault="00355749" w:rsidP="00EB513E">
            <w:pPr>
              <w:pStyle w:val="NormalWeb"/>
              <w:jc w:val="center"/>
            </w:pPr>
            <w:r>
              <w:t>2</w:t>
            </w:r>
          </w:p>
        </w:tc>
        <w:tc>
          <w:tcPr>
            <w:tcW w:w="1826" w:type="dxa"/>
            <w:hideMark/>
          </w:tcPr>
          <w:p w:rsidR="00355749" w:rsidRDefault="00355749" w:rsidP="00EB513E">
            <w:pPr>
              <w:pStyle w:val="NormalWeb"/>
              <w:jc w:val="center"/>
            </w:pPr>
            <w:r>
              <w:t>1</w:t>
            </w:r>
          </w:p>
        </w:tc>
        <w:tc>
          <w:tcPr>
            <w:tcW w:w="1826" w:type="dxa"/>
            <w:hideMark/>
          </w:tcPr>
          <w:p w:rsidR="00355749" w:rsidRDefault="00355749" w:rsidP="00EB513E">
            <w:pPr>
              <w:pStyle w:val="NormalWeb"/>
              <w:jc w:val="center"/>
            </w:pPr>
            <w:r>
              <w:t>50</w:t>
            </w:r>
          </w:p>
        </w:tc>
      </w:tr>
      <w:tr w:rsidR="00355749" w:rsidTr="00333882">
        <w:tc>
          <w:tcPr>
            <w:tcW w:w="0" w:type="auto"/>
            <w:hideMark/>
          </w:tcPr>
          <w:p w:rsidR="00355749" w:rsidRDefault="00355749">
            <w:pPr>
              <w:pStyle w:val="NormalWeb"/>
            </w:pPr>
            <w:r>
              <w:t>Tasmania</w:t>
            </w:r>
          </w:p>
        </w:tc>
        <w:tc>
          <w:tcPr>
            <w:tcW w:w="3651" w:type="dxa"/>
            <w:hideMark/>
          </w:tcPr>
          <w:p w:rsidR="00355749" w:rsidRDefault="00355749" w:rsidP="00EB513E">
            <w:pPr>
              <w:pStyle w:val="NormalWeb"/>
              <w:jc w:val="center"/>
            </w:pPr>
            <w:r>
              <w:t>53</w:t>
            </w:r>
          </w:p>
        </w:tc>
        <w:tc>
          <w:tcPr>
            <w:tcW w:w="1826" w:type="dxa"/>
            <w:hideMark/>
          </w:tcPr>
          <w:p w:rsidR="00355749" w:rsidRDefault="00355749" w:rsidP="00EB513E">
            <w:pPr>
              <w:pStyle w:val="NormalWeb"/>
              <w:jc w:val="center"/>
            </w:pPr>
            <w:r>
              <w:t>9</w:t>
            </w:r>
          </w:p>
        </w:tc>
        <w:tc>
          <w:tcPr>
            <w:tcW w:w="1826" w:type="dxa"/>
            <w:hideMark/>
          </w:tcPr>
          <w:p w:rsidR="00355749" w:rsidRDefault="00355749" w:rsidP="00EB513E">
            <w:pPr>
              <w:pStyle w:val="NormalWeb"/>
              <w:jc w:val="center"/>
            </w:pPr>
            <w:r>
              <w:t>17.0</w:t>
            </w:r>
          </w:p>
        </w:tc>
      </w:tr>
      <w:tr w:rsidR="00355749" w:rsidTr="00333882">
        <w:trPr>
          <w:cnfStyle w:val="000000010000" w:firstRow="0" w:lastRow="0" w:firstColumn="0" w:lastColumn="0" w:oddVBand="0" w:evenVBand="0" w:oddHBand="0" w:evenHBand="1" w:firstRowFirstColumn="0" w:firstRowLastColumn="0" w:lastRowFirstColumn="0" w:lastRowLastColumn="0"/>
        </w:trPr>
        <w:tc>
          <w:tcPr>
            <w:tcW w:w="0" w:type="auto"/>
            <w:hideMark/>
          </w:tcPr>
          <w:p w:rsidR="00355749" w:rsidRDefault="00355749">
            <w:pPr>
              <w:pStyle w:val="NormalWeb"/>
            </w:pPr>
            <w:r>
              <w:t>Victoria</w:t>
            </w:r>
          </w:p>
        </w:tc>
        <w:tc>
          <w:tcPr>
            <w:tcW w:w="3651" w:type="dxa"/>
            <w:hideMark/>
          </w:tcPr>
          <w:p w:rsidR="00355749" w:rsidRDefault="00355749" w:rsidP="00EB513E">
            <w:pPr>
              <w:pStyle w:val="NormalWeb"/>
              <w:jc w:val="center"/>
            </w:pPr>
            <w:r>
              <w:t>1,320</w:t>
            </w:r>
          </w:p>
        </w:tc>
        <w:tc>
          <w:tcPr>
            <w:tcW w:w="1826" w:type="dxa"/>
            <w:hideMark/>
          </w:tcPr>
          <w:p w:rsidR="00355749" w:rsidRDefault="00355749" w:rsidP="00EB513E">
            <w:pPr>
              <w:pStyle w:val="NormalWeb"/>
              <w:jc w:val="center"/>
            </w:pPr>
            <w:r>
              <w:t>519</w:t>
            </w:r>
          </w:p>
        </w:tc>
        <w:tc>
          <w:tcPr>
            <w:tcW w:w="1826" w:type="dxa"/>
            <w:hideMark/>
          </w:tcPr>
          <w:p w:rsidR="00355749" w:rsidRDefault="00355749" w:rsidP="00EB513E">
            <w:pPr>
              <w:pStyle w:val="NormalWeb"/>
              <w:jc w:val="center"/>
            </w:pPr>
            <w:r>
              <w:t>39.3</w:t>
            </w:r>
          </w:p>
        </w:tc>
      </w:tr>
      <w:tr w:rsidR="00355749" w:rsidTr="00333882">
        <w:tc>
          <w:tcPr>
            <w:tcW w:w="0" w:type="auto"/>
            <w:hideMark/>
          </w:tcPr>
          <w:p w:rsidR="00355749" w:rsidRDefault="00355749">
            <w:pPr>
              <w:pStyle w:val="NormalWeb"/>
            </w:pPr>
            <w:r>
              <w:t>Northern Territory (non-remote)</w:t>
            </w:r>
          </w:p>
        </w:tc>
        <w:tc>
          <w:tcPr>
            <w:tcW w:w="3651" w:type="dxa"/>
            <w:hideMark/>
          </w:tcPr>
          <w:p w:rsidR="00355749" w:rsidRDefault="00355749" w:rsidP="00EB513E">
            <w:pPr>
              <w:pStyle w:val="NormalWeb"/>
              <w:jc w:val="center"/>
            </w:pPr>
            <w:r>
              <w:t>17</w:t>
            </w:r>
          </w:p>
        </w:tc>
        <w:tc>
          <w:tcPr>
            <w:tcW w:w="1826" w:type="dxa"/>
            <w:hideMark/>
          </w:tcPr>
          <w:p w:rsidR="00355749" w:rsidRDefault="00355749" w:rsidP="00EB513E">
            <w:pPr>
              <w:pStyle w:val="NormalWeb"/>
              <w:jc w:val="center"/>
            </w:pPr>
            <w:r>
              <w:t>3</w:t>
            </w:r>
          </w:p>
        </w:tc>
        <w:tc>
          <w:tcPr>
            <w:tcW w:w="1826" w:type="dxa"/>
            <w:hideMark/>
          </w:tcPr>
          <w:p w:rsidR="00355749" w:rsidRDefault="00355749" w:rsidP="00EB513E">
            <w:pPr>
              <w:pStyle w:val="NormalWeb"/>
              <w:jc w:val="center"/>
            </w:pPr>
            <w:r>
              <w:t>17.6</w:t>
            </w:r>
          </w:p>
        </w:tc>
      </w:tr>
      <w:tr w:rsidR="00355749" w:rsidTr="00333882">
        <w:trPr>
          <w:cnfStyle w:val="000000010000" w:firstRow="0" w:lastRow="0" w:firstColumn="0" w:lastColumn="0" w:oddVBand="0" w:evenVBand="0" w:oddHBand="0" w:evenHBand="1" w:firstRowFirstColumn="0" w:firstRowLastColumn="0" w:lastRowFirstColumn="0" w:lastRowLastColumn="0"/>
        </w:trPr>
        <w:tc>
          <w:tcPr>
            <w:tcW w:w="0" w:type="auto"/>
            <w:hideMark/>
          </w:tcPr>
          <w:p w:rsidR="00355749" w:rsidRDefault="00355749">
            <w:pPr>
              <w:pStyle w:val="NormalWeb"/>
            </w:pPr>
            <w:r>
              <w:t>Northern Territory (remote)</w:t>
            </w:r>
          </w:p>
        </w:tc>
        <w:tc>
          <w:tcPr>
            <w:tcW w:w="3651" w:type="dxa"/>
            <w:hideMark/>
          </w:tcPr>
          <w:p w:rsidR="00355749" w:rsidRDefault="00355749" w:rsidP="00EB513E">
            <w:pPr>
              <w:pStyle w:val="NormalWeb"/>
              <w:jc w:val="center"/>
            </w:pPr>
            <w:r>
              <w:t>65</w:t>
            </w:r>
          </w:p>
        </w:tc>
        <w:tc>
          <w:tcPr>
            <w:tcW w:w="1826" w:type="dxa"/>
            <w:hideMark/>
          </w:tcPr>
          <w:p w:rsidR="00355749" w:rsidRDefault="00355749" w:rsidP="00EB513E">
            <w:pPr>
              <w:pStyle w:val="NormalWeb"/>
              <w:jc w:val="center"/>
            </w:pPr>
            <w:r>
              <w:t>5</w:t>
            </w:r>
          </w:p>
        </w:tc>
        <w:tc>
          <w:tcPr>
            <w:tcW w:w="1826" w:type="dxa"/>
            <w:hideMark/>
          </w:tcPr>
          <w:p w:rsidR="00355749" w:rsidRDefault="00355749" w:rsidP="00EB513E">
            <w:pPr>
              <w:pStyle w:val="NormalWeb"/>
              <w:jc w:val="center"/>
            </w:pPr>
            <w:r>
              <w:t>7.7</w:t>
            </w:r>
          </w:p>
        </w:tc>
      </w:tr>
      <w:tr w:rsidR="00355749" w:rsidTr="00333882">
        <w:tc>
          <w:tcPr>
            <w:tcW w:w="0" w:type="auto"/>
            <w:hideMark/>
          </w:tcPr>
          <w:p w:rsidR="00355749" w:rsidRDefault="00355749">
            <w:pPr>
              <w:pStyle w:val="NormalWeb"/>
            </w:pPr>
            <w:r>
              <w:t>Western Australia (non-remote)</w:t>
            </w:r>
          </w:p>
        </w:tc>
        <w:tc>
          <w:tcPr>
            <w:tcW w:w="3651" w:type="dxa"/>
            <w:hideMark/>
          </w:tcPr>
          <w:p w:rsidR="00355749" w:rsidRDefault="00355749" w:rsidP="00EB513E">
            <w:pPr>
              <w:pStyle w:val="NormalWeb"/>
              <w:jc w:val="center"/>
            </w:pPr>
            <w:r>
              <w:t>648</w:t>
            </w:r>
          </w:p>
        </w:tc>
        <w:tc>
          <w:tcPr>
            <w:tcW w:w="1826" w:type="dxa"/>
            <w:hideMark/>
          </w:tcPr>
          <w:p w:rsidR="00355749" w:rsidRDefault="00355749" w:rsidP="00EB513E">
            <w:pPr>
              <w:pStyle w:val="NormalWeb"/>
              <w:jc w:val="center"/>
            </w:pPr>
            <w:r>
              <w:t>173</w:t>
            </w:r>
          </w:p>
        </w:tc>
        <w:tc>
          <w:tcPr>
            <w:tcW w:w="1826" w:type="dxa"/>
            <w:hideMark/>
          </w:tcPr>
          <w:p w:rsidR="00355749" w:rsidRDefault="00355749" w:rsidP="00EB513E">
            <w:pPr>
              <w:pStyle w:val="NormalWeb"/>
              <w:jc w:val="center"/>
            </w:pPr>
            <w:r>
              <w:t>26.7</w:t>
            </w:r>
          </w:p>
        </w:tc>
      </w:tr>
      <w:tr w:rsidR="00355749" w:rsidTr="00333882">
        <w:trPr>
          <w:cnfStyle w:val="000000010000" w:firstRow="0" w:lastRow="0" w:firstColumn="0" w:lastColumn="0" w:oddVBand="0" w:evenVBand="0" w:oddHBand="0" w:evenHBand="1" w:firstRowFirstColumn="0" w:firstRowLastColumn="0" w:lastRowFirstColumn="0" w:lastRowLastColumn="0"/>
        </w:trPr>
        <w:tc>
          <w:tcPr>
            <w:tcW w:w="0" w:type="auto"/>
            <w:hideMark/>
          </w:tcPr>
          <w:p w:rsidR="00355749" w:rsidRDefault="00355749">
            <w:pPr>
              <w:pStyle w:val="NormalWeb"/>
            </w:pPr>
            <w:r>
              <w:t>Western Australia (remote)</w:t>
            </w:r>
          </w:p>
        </w:tc>
        <w:tc>
          <w:tcPr>
            <w:tcW w:w="3651" w:type="dxa"/>
            <w:hideMark/>
          </w:tcPr>
          <w:p w:rsidR="00355749" w:rsidRDefault="00355749" w:rsidP="00EB513E">
            <w:pPr>
              <w:pStyle w:val="NormalWeb"/>
              <w:jc w:val="center"/>
            </w:pPr>
            <w:r>
              <w:t>107</w:t>
            </w:r>
          </w:p>
        </w:tc>
        <w:tc>
          <w:tcPr>
            <w:tcW w:w="1826" w:type="dxa"/>
            <w:hideMark/>
          </w:tcPr>
          <w:p w:rsidR="00355749" w:rsidRDefault="00355749" w:rsidP="00EB513E">
            <w:pPr>
              <w:pStyle w:val="NormalWeb"/>
              <w:jc w:val="center"/>
            </w:pPr>
            <w:r>
              <w:t>10</w:t>
            </w:r>
          </w:p>
        </w:tc>
        <w:tc>
          <w:tcPr>
            <w:tcW w:w="1826" w:type="dxa"/>
            <w:hideMark/>
          </w:tcPr>
          <w:p w:rsidR="00355749" w:rsidRDefault="00355749" w:rsidP="00EB513E">
            <w:pPr>
              <w:pStyle w:val="NormalWeb"/>
              <w:jc w:val="center"/>
            </w:pPr>
            <w:r>
              <w:t>9.3</w:t>
            </w:r>
          </w:p>
        </w:tc>
      </w:tr>
      <w:tr w:rsidR="00355749" w:rsidTr="00B83826">
        <w:tc>
          <w:tcPr>
            <w:tcW w:w="0" w:type="auto"/>
            <w:shd w:val="clear" w:color="auto" w:fill="FDE9D9" w:themeFill="accent6" w:themeFillTint="33"/>
            <w:hideMark/>
          </w:tcPr>
          <w:p w:rsidR="00355749" w:rsidRDefault="00805F89">
            <w:pPr>
              <w:pStyle w:val="NormalWeb"/>
            </w:pPr>
            <w:r>
              <w:t>Australia</w:t>
            </w:r>
          </w:p>
        </w:tc>
        <w:tc>
          <w:tcPr>
            <w:tcW w:w="3651" w:type="dxa"/>
            <w:shd w:val="clear" w:color="auto" w:fill="FDE9D9" w:themeFill="accent6" w:themeFillTint="33"/>
            <w:hideMark/>
          </w:tcPr>
          <w:p w:rsidR="00355749" w:rsidRDefault="00355749" w:rsidP="00EB513E">
            <w:pPr>
              <w:pStyle w:val="NormalWeb"/>
              <w:jc w:val="center"/>
            </w:pPr>
            <w:r>
              <w:t>2,493</w:t>
            </w:r>
          </w:p>
        </w:tc>
        <w:tc>
          <w:tcPr>
            <w:tcW w:w="1826" w:type="dxa"/>
            <w:shd w:val="clear" w:color="auto" w:fill="FDE9D9" w:themeFill="accent6" w:themeFillTint="33"/>
            <w:hideMark/>
          </w:tcPr>
          <w:p w:rsidR="00355749" w:rsidRDefault="00355749" w:rsidP="00EB513E">
            <w:pPr>
              <w:pStyle w:val="NormalWeb"/>
              <w:jc w:val="center"/>
            </w:pPr>
            <w:r>
              <w:t>797</w:t>
            </w:r>
          </w:p>
        </w:tc>
        <w:tc>
          <w:tcPr>
            <w:tcW w:w="1826" w:type="dxa"/>
            <w:shd w:val="clear" w:color="auto" w:fill="FDE9D9" w:themeFill="accent6" w:themeFillTint="33"/>
            <w:hideMark/>
          </w:tcPr>
          <w:p w:rsidR="00355749" w:rsidRDefault="00355749" w:rsidP="00EB513E">
            <w:pPr>
              <w:pStyle w:val="NormalWeb"/>
              <w:jc w:val="center"/>
            </w:pPr>
            <w:r>
              <w:t>32.0</w:t>
            </w:r>
          </w:p>
        </w:tc>
      </w:tr>
    </w:tbl>
    <w:p w:rsidR="00355749" w:rsidRPr="00E87D00" w:rsidRDefault="00355749" w:rsidP="00E87D00">
      <w:pPr>
        <w:pStyle w:val="Heading2"/>
      </w:pPr>
      <w:proofErr w:type="spellStart"/>
      <w:r w:rsidRPr="00E87D00">
        <w:t>Spectinomycin</w:t>
      </w:r>
      <w:proofErr w:type="spellEnd"/>
      <w:r w:rsidRPr="00E87D00">
        <w:t xml:space="preserve"> </w:t>
      </w:r>
    </w:p>
    <w:p w:rsidR="00355749" w:rsidRDefault="00355749" w:rsidP="00E87D00">
      <w:r>
        <w:t xml:space="preserve">In 2018, all isolates tested were susceptible to </w:t>
      </w:r>
      <w:proofErr w:type="spellStart"/>
      <w:r>
        <w:t>spectinomycin</w:t>
      </w:r>
      <w:proofErr w:type="spellEnd"/>
      <w:r>
        <w:t xml:space="preserve">. </w:t>
      </w:r>
    </w:p>
    <w:p w:rsidR="00355749" w:rsidRPr="00FC3C3B" w:rsidRDefault="00355749" w:rsidP="00FC3C3B">
      <w:pPr>
        <w:pStyle w:val="Heading1"/>
      </w:pPr>
      <w:r w:rsidRPr="00FC3C3B">
        <w:t xml:space="preserve">Discussion </w:t>
      </w:r>
    </w:p>
    <w:p w:rsidR="00355749" w:rsidRDefault="00355749" w:rsidP="00FC3C3B">
      <w:r>
        <w:t>The WHO recommends that treatment regimens for gonorrhoea are based on epidemiological surveillance of the distribution and extent of AMR, and that a resistance rate of 5% or more is the nominal threshold for change of treatment recommendations.</w:t>
      </w:r>
      <w:r>
        <w:rPr>
          <w:vertAlign w:val="superscript"/>
        </w:rPr>
        <w:t>16</w:t>
      </w:r>
      <w:r>
        <w:t xml:space="preserve"> The AGSP has continuously monitored gonococcal AMR in Australia since 1981, and has established and coordinated quality assurance, and quality control, for gonococcal AMR testing with the AGSP External Quality Assurance Program, and the development of the WHO NG reference strains, thus ensuring the quality of the AGSP data.</w:t>
      </w:r>
      <w:r>
        <w:rPr>
          <w:vertAlign w:val="superscript"/>
        </w:rPr>
        <w:t>19,21</w:t>
      </w:r>
      <w:r>
        <w:t xml:space="preserve"> In 2018 the NNN examined 9,006 clinical isolates for susceptibility testing to ceftriaxone, azithromycin, ciprofloxacin, penicillin and high-level resistance to tetracycline. These isolates were referred from both the public and private health sectors, constituting a comprehensive sample of about one-third of all notifications nationally. Coincident with the increases in NG disease rates in Australia</w:t>
      </w:r>
      <w:proofErr w:type="gramStart"/>
      <w:r>
        <w:t>,</w:t>
      </w:r>
      <w:r>
        <w:rPr>
          <w:vertAlign w:val="superscript"/>
        </w:rPr>
        <w:t>2</w:t>
      </w:r>
      <w:proofErr w:type="gramEnd"/>
      <w:r>
        <w:t xml:space="preserve"> there has been an increase in the numbers of gonococcal isolates tested for AMR. However, the proportion remains relatively unchanged at about 30%. </w:t>
      </w:r>
    </w:p>
    <w:p w:rsidR="00355749" w:rsidRDefault="00D846B4" w:rsidP="00FC3C3B">
      <w:r w:rsidRPr="00D846B4">
        <w:t>Both in Aus</w:t>
      </w:r>
      <w:r>
        <w:t xml:space="preserve">tralia and internationally, </w:t>
      </w:r>
      <w:r w:rsidR="00355749">
        <w:t xml:space="preserve">the monitoring of ceftriaxone and azithromycin MIC values is the primary focus of surveillance for gonococcal AMR. With regard to ceftriaxone, MIC values ≥0.06 mg/L are reported to have decreased susceptibility. The AGSP proportion of isolates with decreased susceptibility to ceftriaxone has steadily and substantially declined since 2013 from 8.8% to 1.7% in 2018 (Table 4). However little reassurance should be </w:t>
      </w:r>
      <w:r w:rsidR="00355749">
        <w:lastRenderedPageBreak/>
        <w:t>taken from this, as multidrug-resistant strains with high-level resistance to ceftriaxone have been reported from Asia, Europe and Australia in recent years.</w:t>
      </w:r>
      <w:r w:rsidR="00355749">
        <w:rPr>
          <w:vertAlign w:val="superscript"/>
        </w:rPr>
        <w:t xml:space="preserve">22–25 </w:t>
      </w:r>
    </w:p>
    <w:p w:rsidR="00355749" w:rsidRDefault="00355749" w:rsidP="00FC3C3B">
      <w:r>
        <w:t>In 2017 the AGSP identified two new multidrug-resistant NG isolates in Australia. These strains were phenotypically similar to the ceftriaxone-resistant strain first reported in Japan in 2015 (FC428), and similar strains in Denmark (GK124) and Canada (47,707).</w:t>
      </w:r>
      <w:r>
        <w:rPr>
          <w:vertAlign w:val="superscript"/>
        </w:rPr>
        <w:t>3</w:t>
      </w:r>
      <w:r>
        <w:t xml:space="preserve"> Further investigations, in collaboration by the NNN with international colleagues, found that, on </w:t>
      </w:r>
      <w:proofErr w:type="spellStart"/>
      <w:r>
        <w:t>bioinformatic</w:t>
      </w:r>
      <w:proofErr w:type="spellEnd"/>
      <w:r>
        <w:t xml:space="preserve"> analyses, there was close genetic relatedness amongst other phenotypically similar isolates from Japan and Canada providing further evidence of international transmission of this ceftriaxone-resistant </w:t>
      </w:r>
      <w:r w:rsidRPr="00F458E5">
        <w:rPr>
          <w:rStyle w:val="Emphasis"/>
          <w:b w:val="0"/>
        </w:rPr>
        <w:t xml:space="preserve">N. </w:t>
      </w:r>
      <w:proofErr w:type="spellStart"/>
      <w:r w:rsidRPr="00F458E5">
        <w:rPr>
          <w:rStyle w:val="Emphasis"/>
          <w:b w:val="0"/>
        </w:rPr>
        <w:t>gonorrhoeae</w:t>
      </w:r>
      <w:proofErr w:type="spellEnd"/>
      <w:r>
        <w:t xml:space="preserve"> strain.</w:t>
      </w:r>
      <w:r>
        <w:rPr>
          <w:vertAlign w:val="superscript"/>
        </w:rPr>
        <w:t xml:space="preserve">3 </w:t>
      </w:r>
    </w:p>
    <w:p w:rsidR="00355749" w:rsidRDefault="00355749" w:rsidP="00FC3C3B">
      <w:r>
        <w:t>In 2018 two isolates of global concern were detected by the AGSP and reported by the Australian Government to the World Health Organization due to their international significance. These two isolates, with ceftriaxone MIC values of 0.50 mg/L, high-level resistance to azithromycin (MIC ≥ 256 mg/L), and resistance to penicillin and ciprofloxacin were isolated from patients, not determined to be contacts, from Queensland. One had a history of travel to South East Asia. At the same time an isolate with a similar phenotype was identified in England, also with a history of travel to South East Asia.</w:t>
      </w:r>
      <w:r>
        <w:rPr>
          <w:vertAlign w:val="superscript"/>
        </w:rPr>
        <w:t>26</w:t>
      </w:r>
      <w:r>
        <w:t xml:space="preserve"> Again, the NNN, through international collaboration, this time with UK colleagues through the WHO Collaborating Centre Network, worked to investigate the genotypic analysis of these three isolates and determined that they represent a single gonococcal clone, the A2543 clone.</w:t>
      </w:r>
      <w:r>
        <w:rPr>
          <w:vertAlign w:val="superscript"/>
        </w:rPr>
        <w:t>27</w:t>
      </w:r>
      <w:r>
        <w:t xml:space="preserve"> In all likelihood this A2543 clone is circulating, but undetected due to gaps in NG AMR surveillance internationally.</w:t>
      </w:r>
      <w:r>
        <w:rPr>
          <w:vertAlign w:val="superscript"/>
        </w:rPr>
        <w:t xml:space="preserve">27 </w:t>
      </w:r>
    </w:p>
    <w:p w:rsidR="00355749" w:rsidRDefault="00355749" w:rsidP="00FC3C3B">
      <w:r>
        <w:t xml:space="preserve">Remote populations of Australia, which are predominantly </w:t>
      </w:r>
      <w:proofErr w:type="gramStart"/>
      <w:r>
        <w:t>Aboriginal</w:t>
      </w:r>
      <w:proofErr w:type="gramEnd"/>
      <w:r>
        <w:t xml:space="preserve"> and Torres Strait Islander, have low rates of AMR despite very high rates of disease, but require continued vigilance with monitoring of AMR in NG using molecular and culture-based surveillance strategies. </w:t>
      </w:r>
    </w:p>
    <w:p w:rsidR="00355749" w:rsidRDefault="00355749" w:rsidP="00FC3C3B">
      <w:r>
        <w:t>In 2013, high-level resistance (HLR; MIC value ≥ 256 mg/L) to azithromycin in gonococci was reported for the first time in Australia in four strains, two with suspected contact in China.</w:t>
      </w:r>
      <w:r>
        <w:rPr>
          <w:vertAlign w:val="superscript"/>
        </w:rPr>
        <w:t>28</w:t>
      </w:r>
      <w:r>
        <w:t xml:space="preserve"> Since then there have been only sporadic reports of HLR to azithromycin; however, there were nine such strains in 2018. Additionally, there were 23 isolates (including the XDR strains described above) that were resistant to azithromycin, penicillin and ciprofloxacin. The proportion of </w:t>
      </w:r>
      <w:r w:rsidR="002D5458">
        <w:t>azithromycin resistant</w:t>
      </w:r>
      <w:r>
        <w:t xml:space="preserve"> isolates that were also resistant to penicillin and ciprofloxacin was 4.1%. Continued close observation is ongoing as evidence of coevolving cephalosporin and azithromycin resistance is being observed outside Australia and is of significant concern.</w:t>
      </w:r>
      <w:r>
        <w:rPr>
          <w:vertAlign w:val="superscript"/>
        </w:rPr>
        <w:t xml:space="preserve">29 </w:t>
      </w:r>
    </w:p>
    <w:p w:rsidR="00355749" w:rsidRDefault="00355749" w:rsidP="00FC3C3B">
      <w:r>
        <w:t xml:space="preserve">Another important and concerning finding by the AGSP in 2018 is the increase in isolates with low level resistance to azithromycin in all jurisdictions of Australia, excepting the ACT and Northern Territory (Table 6). In remote WA there were four </w:t>
      </w:r>
      <w:r w:rsidR="002D5458">
        <w:t>azithromycin resistant</w:t>
      </w:r>
      <w:r>
        <w:t xml:space="preserve"> strains reported. Until recently</w:t>
      </w:r>
      <w:r w:rsidRPr="00F458E5">
        <w:rPr>
          <w:rStyle w:val="Emphasis"/>
          <w:b w:val="0"/>
        </w:rPr>
        <w:t xml:space="preserve"> </w:t>
      </w:r>
      <w:r>
        <w:t>azithromycin resistance in Australia in</w:t>
      </w:r>
      <w:r w:rsidRPr="00F458E5">
        <w:rPr>
          <w:rStyle w:val="Emphasis"/>
          <w:b w:val="0"/>
        </w:rPr>
        <w:t xml:space="preserve"> </w:t>
      </w:r>
      <w:r>
        <w:t>NG has remained relatively low at 1.3–2.6% over the years 2012–2015 but has then increased from 5% in 2016 to 9.3% in 2017 (Table 6). In South Australia in 2016, azithromycin resistance in NG significantly increased (</w:t>
      </w:r>
      <w:r w:rsidRPr="00F458E5">
        <w:rPr>
          <w:rStyle w:val="Emphasis"/>
          <w:b w:val="0"/>
        </w:rPr>
        <w:t>p</w:t>
      </w:r>
      <w:r>
        <w:t>&lt;0.0001) from less than 5% in the latter half of 2015 to 26% in the first half of 2016.</w:t>
      </w:r>
      <w:r>
        <w:rPr>
          <w:vertAlign w:val="superscript"/>
        </w:rPr>
        <w:t>30</w:t>
      </w:r>
      <w:r>
        <w:t xml:space="preserve"> Overall in 2016, there were 68/349 (19.5%) strains in South Australia that were azithromycin resistant with MIC values in the range 1.0 mg/L to 8.0 mg/L. Enhanced surveillance was conducted, and one treatment failure was reported in a patient treated with azithromycin single agent therapy.</w:t>
      </w:r>
      <w:r>
        <w:rPr>
          <w:vertAlign w:val="superscript"/>
        </w:rPr>
        <w:t>6</w:t>
      </w:r>
      <w:r>
        <w:t xml:space="preserve"> A review and change of the South Australian gonococcal treatment guidelines followed.</w:t>
      </w:r>
      <w:r>
        <w:rPr>
          <w:vertAlign w:val="superscript"/>
        </w:rPr>
        <w:t>6</w:t>
      </w:r>
      <w:r>
        <w:t xml:space="preserve"> In 2018 azithromycin resistance was highest in the Australian Capital Territory (8.7%), Victoria (8.3%) and New South Wales 6.5%). Globally there have been increasing reports of azithromycin resistance.</w:t>
      </w:r>
      <w:r>
        <w:rPr>
          <w:vertAlign w:val="superscript"/>
        </w:rPr>
        <w:t xml:space="preserve">31 </w:t>
      </w:r>
    </w:p>
    <w:p w:rsidR="00355749" w:rsidRDefault="00355749" w:rsidP="00FC3C3B">
      <w:r>
        <w:t>The recent reports of international spread of NG with resistance to ceftriaxone</w:t>
      </w:r>
      <w:proofErr w:type="gramStart"/>
      <w:r>
        <w:t>,</w:t>
      </w:r>
      <w:r>
        <w:rPr>
          <w:vertAlign w:val="superscript"/>
        </w:rPr>
        <w:t>26</w:t>
      </w:r>
      <w:proofErr w:type="gramEnd"/>
      <w:r>
        <w:t xml:space="preserve"> and the emergence of azithromycin resistance, heighten concerns about the future treatment strategies for NG AMR. Public health strategies promoting primary prevention of gonorrhoea and other sexually transmissible infections are urgently required, and NG vaccine development is a research priority to control this disease. This report underscores the importance of bacterial culture and antimicrobial susceptibility testing of NG for clinical management, detection of resistance and novel </w:t>
      </w:r>
      <w:r>
        <w:lastRenderedPageBreak/>
        <w:t xml:space="preserve">resistant strains, AMR surveillance, and test of cure. Clinicians should note and consider travel history given the association with NG AMR. </w:t>
      </w:r>
    </w:p>
    <w:p w:rsidR="00355749" w:rsidRDefault="00355749" w:rsidP="00FC3C3B">
      <w:r>
        <w:t>The WHO Global Action Plan states that disease control strategies and the understanding of the global scope of AMR need to continue to be informed by surveillance programs of AMR, nationally and internationally.</w:t>
      </w:r>
      <w:r>
        <w:rPr>
          <w:vertAlign w:val="superscript"/>
        </w:rPr>
        <w:t>17</w:t>
      </w:r>
      <w:r>
        <w:t xml:space="preserve"> The ongoing need for close and enhanced monitoring of gonococcal AMR can be supported, but not replaced, by molecular based assays and strain specific assays can be used for routine and sentinel site surveillance in high risk populations. The data are critically important to inform therapeutic strategies, to monitor for the presence and spread of resistance and to detect instances of treatment failure. </w:t>
      </w:r>
    </w:p>
    <w:p w:rsidR="00355749" w:rsidRPr="00FC3C3B" w:rsidRDefault="00355749" w:rsidP="00FC3C3B">
      <w:pPr>
        <w:pStyle w:val="Heading1"/>
      </w:pPr>
      <w:r w:rsidRPr="00FC3C3B">
        <w:t xml:space="preserve">Acknowledgements </w:t>
      </w:r>
    </w:p>
    <w:p w:rsidR="00355749" w:rsidRDefault="00355749" w:rsidP="003A651B">
      <w:r>
        <w:t xml:space="preserve">The NNN is supported by the Commonwealth Department of Health to provide the AGSP. We thank the many laboratories, private and public, throughout Australia for referral of isolates for testing, and Dr David Speers for the communication regarding the PPNG assay data from WA. </w:t>
      </w:r>
    </w:p>
    <w:p w:rsidR="00355749" w:rsidRDefault="00355749" w:rsidP="003A651B">
      <w:r>
        <w:t xml:space="preserve">Members of the NNN in 2018 (and to whom isolates should be referred) were: John Bates and Vicki Hicks (Queensland Public Health Microbiology, Forensic and Scientific Services, Coopers Plains, Queensland); Athena </w:t>
      </w:r>
      <w:proofErr w:type="spellStart"/>
      <w:r>
        <w:t>Limnios</w:t>
      </w:r>
      <w:proofErr w:type="spellEnd"/>
      <w:r>
        <w:t xml:space="preserve">, Tiffany Hogan, </w:t>
      </w:r>
      <w:proofErr w:type="spellStart"/>
      <w:r>
        <w:t>Ratan</w:t>
      </w:r>
      <w:proofErr w:type="spellEnd"/>
      <w:r>
        <w:t xml:space="preserve"> </w:t>
      </w:r>
      <w:proofErr w:type="spellStart"/>
      <w:r>
        <w:t>Kundu</w:t>
      </w:r>
      <w:proofErr w:type="spellEnd"/>
      <w:r>
        <w:t xml:space="preserve">, Rodney Enriquez, Jasmin El-Nasser and Monica M. Lahra (New South Wales Health Pathology Department of Microbiology, The Prince of Wales Hospital, Randwick, New South Wales and School of Medical Sciences, Faculty of Medicine, the University of New South Wales, Kensington, NSW Australia); Kerrie Stevens, Samantha </w:t>
      </w:r>
      <w:proofErr w:type="spellStart"/>
      <w:r>
        <w:t>Tawil</w:t>
      </w:r>
      <w:proofErr w:type="spellEnd"/>
      <w:r>
        <w:t xml:space="preserve">, and Benjamin P. Howden (The Microbiological Diagnostic Unit (PHL), Department of Microbiology and Immunology, Peter Doherty Institute for Infection and Immunity, The University of Melbourne, Parkville, Victoria); Andrew Lawrence and Judith Holds (SA Pathology); Julie Pearson; Jane Bew and David Speers (Department of Microbiology and Infectious Diseases, </w:t>
      </w:r>
      <w:proofErr w:type="spellStart"/>
      <w:r>
        <w:t>PathWest</w:t>
      </w:r>
      <w:proofErr w:type="spellEnd"/>
      <w:r>
        <w:t xml:space="preserve"> Laboratory Medicine, Fiona Stanley Hospital, Western Australia); Belinda McEwan (Department of Microbiology and Infectious Diseases, Royal Hobart Hospital, Hobart, Tasmania); Kevin Freeman and Microbiology Staff (Microbiology Laboratory, Territory Pathology, Royal Darwin Hospital, Tiwi, Northern Territory); and Susan Bradbury and Peter </w:t>
      </w:r>
      <w:proofErr w:type="spellStart"/>
      <w:r>
        <w:t>Collignon</w:t>
      </w:r>
      <w:proofErr w:type="spellEnd"/>
      <w:r>
        <w:t xml:space="preserve"> (Microbiology Department, The Canberra Hospital, Garran, Australian Capital Territory). </w:t>
      </w:r>
    </w:p>
    <w:p w:rsidR="009A06BA" w:rsidRDefault="009A06BA">
      <w:pPr>
        <w:rPr>
          <w:rFonts w:asciiTheme="majorHAnsi" w:eastAsiaTheme="majorEastAsia" w:hAnsiTheme="majorHAnsi" w:cstheme="majorBidi"/>
          <w:b/>
          <w:bCs/>
          <w:sz w:val="32"/>
          <w:szCs w:val="28"/>
        </w:rPr>
      </w:pPr>
      <w:r>
        <w:br w:type="page"/>
      </w:r>
    </w:p>
    <w:p w:rsidR="00355749" w:rsidRPr="00FC3C3B" w:rsidRDefault="00355749" w:rsidP="00FC3C3B">
      <w:pPr>
        <w:pStyle w:val="Heading1"/>
      </w:pPr>
      <w:r w:rsidRPr="00FC3C3B">
        <w:lastRenderedPageBreak/>
        <w:t xml:space="preserve">Author details </w:t>
      </w:r>
    </w:p>
    <w:p w:rsidR="00355749" w:rsidRDefault="00355749" w:rsidP="003A651B">
      <w:r>
        <w:t>Monica M Lahra</w:t>
      </w:r>
      <w:r>
        <w:rPr>
          <w:vertAlign w:val="superscript"/>
        </w:rPr>
        <w:t>1</w:t>
      </w:r>
      <w:proofErr w:type="gramStart"/>
      <w:r>
        <w:rPr>
          <w:vertAlign w:val="superscript"/>
        </w:rPr>
        <w:t>,2,3</w:t>
      </w:r>
      <w:proofErr w:type="gramEnd"/>
      <w:r>
        <w:rPr>
          <w:vertAlign w:val="superscript"/>
        </w:rPr>
        <w:t xml:space="preserve"> </w:t>
      </w:r>
    </w:p>
    <w:p w:rsidR="00355749" w:rsidRDefault="00355749" w:rsidP="003A651B">
      <w:r>
        <w:t>Rodney Enriquez</w:t>
      </w:r>
      <w:r>
        <w:rPr>
          <w:vertAlign w:val="superscript"/>
        </w:rPr>
        <w:t>1</w:t>
      </w:r>
      <w:proofErr w:type="gramStart"/>
      <w:r>
        <w:rPr>
          <w:vertAlign w:val="superscript"/>
        </w:rPr>
        <w:t>,2</w:t>
      </w:r>
      <w:proofErr w:type="gramEnd"/>
      <w:r>
        <w:rPr>
          <w:vertAlign w:val="superscript"/>
        </w:rPr>
        <w:t xml:space="preserve"> </w:t>
      </w:r>
    </w:p>
    <w:p w:rsidR="00355749" w:rsidRDefault="00355749" w:rsidP="003A651B">
      <w:r>
        <w:t>C. R. Robert George</w:t>
      </w:r>
      <w:r>
        <w:rPr>
          <w:vertAlign w:val="superscript"/>
        </w:rPr>
        <w:t>1</w:t>
      </w:r>
      <w:proofErr w:type="gramStart"/>
      <w:r>
        <w:rPr>
          <w:vertAlign w:val="superscript"/>
        </w:rPr>
        <w:t>,4</w:t>
      </w:r>
      <w:proofErr w:type="gramEnd"/>
      <w:r>
        <w:rPr>
          <w:vertAlign w:val="superscript"/>
        </w:rPr>
        <w:t xml:space="preserve"> </w:t>
      </w:r>
    </w:p>
    <w:p w:rsidR="00355749" w:rsidRPr="00E45C2C" w:rsidRDefault="00355749" w:rsidP="00E45C2C">
      <w:pPr>
        <w:pStyle w:val="ListParagraph"/>
        <w:numPr>
          <w:ilvl w:val="0"/>
          <w:numId w:val="10"/>
        </w:numPr>
        <w:rPr>
          <w:rFonts w:eastAsia="Times New Roman"/>
        </w:rPr>
      </w:pPr>
      <w:r w:rsidRPr="00E45C2C">
        <w:rPr>
          <w:rFonts w:eastAsia="Times New Roman"/>
        </w:rPr>
        <w:t xml:space="preserve">The National Neisseria Network, Australia </w:t>
      </w:r>
    </w:p>
    <w:p w:rsidR="00355749" w:rsidRPr="00E45C2C" w:rsidRDefault="00355749" w:rsidP="00E45C2C">
      <w:pPr>
        <w:pStyle w:val="ListParagraph"/>
        <w:numPr>
          <w:ilvl w:val="0"/>
          <w:numId w:val="10"/>
        </w:numPr>
        <w:rPr>
          <w:rFonts w:eastAsia="Times New Roman"/>
        </w:rPr>
      </w:pPr>
      <w:r w:rsidRPr="00E45C2C">
        <w:rPr>
          <w:rFonts w:eastAsia="Times New Roman"/>
        </w:rPr>
        <w:t xml:space="preserve">Neisseria Reference Laboratory and World Health Organisation Collaborating Centre for STD, Sydney. New South Wales Health Pathology, Microbiology, </w:t>
      </w:r>
      <w:proofErr w:type="gramStart"/>
      <w:r w:rsidRPr="00E45C2C">
        <w:rPr>
          <w:rFonts w:eastAsia="Times New Roman"/>
        </w:rPr>
        <w:t>The</w:t>
      </w:r>
      <w:proofErr w:type="gramEnd"/>
      <w:r w:rsidRPr="00E45C2C">
        <w:rPr>
          <w:rFonts w:eastAsia="Times New Roman"/>
        </w:rPr>
        <w:t xml:space="preserve"> Prince of Wales Hospital, Randwick, NSW Australia. </w:t>
      </w:r>
    </w:p>
    <w:p w:rsidR="00355749" w:rsidRPr="00E45C2C" w:rsidRDefault="00355749" w:rsidP="00E45C2C">
      <w:pPr>
        <w:pStyle w:val="ListParagraph"/>
        <w:numPr>
          <w:ilvl w:val="0"/>
          <w:numId w:val="10"/>
        </w:numPr>
        <w:rPr>
          <w:rFonts w:eastAsia="Times New Roman"/>
        </w:rPr>
      </w:pPr>
      <w:r w:rsidRPr="00E45C2C">
        <w:rPr>
          <w:rFonts w:eastAsia="Times New Roman"/>
        </w:rPr>
        <w:t xml:space="preserve">School of Medical Sciences, Faculty of Medicine, The University of New South Wales, 2053 Australia </w:t>
      </w:r>
    </w:p>
    <w:p w:rsidR="00355749" w:rsidRPr="00E45C2C" w:rsidRDefault="00355749" w:rsidP="00E45C2C">
      <w:pPr>
        <w:pStyle w:val="ListParagraph"/>
        <w:numPr>
          <w:ilvl w:val="0"/>
          <w:numId w:val="10"/>
        </w:numPr>
        <w:rPr>
          <w:rFonts w:eastAsia="Times New Roman"/>
        </w:rPr>
      </w:pPr>
      <w:r w:rsidRPr="00E45C2C">
        <w:rPr>
          <w:rFonts w:eastAsia="Times New Roman"/>
        </w:rPr>
        <w:t xml:space="preserve">New South Wales Health Pathology, Microbiology, John Hunter Hospital, New Lambton Heights, NSW Australia. </w:t>
      </w:r>
    </w:p>
    <w:p w:rsidR="00355749" w:rsidRPr="00FC3C3B" w:rsidRDefault="003A557D" w:rsidP="00FC3C3B">
      <w:pPr>
        <w:pStyle w:val="Heading2"/>
      </w:pPr>
      <w:r>
        <w:t>Corresponding author</w:t>
      </w:r>
    </w:p>
    <w:p w:rsidR="00355749" w:rsidRDefault="00355749" w:rsidP="00F75FB7">
      <w:r>
        <w:t xml:space="preserve">Professor Monica M Lahra, World Health Organization Collaborating Centre for STD, Sydney and, Neisseria Reference Laboratory, Microbiology Department, SEALS, The Prince of Wales Hospital, Randwick, NSW, 2031. School of Medical Sciences, Faculty of Medicine, the University of New South Wales, NSW 2050 Australia. </w:t>
      </w:r>
    </w:p>
    <w:p w:rsidR="00355749" w:rsidRDefault="00355749" w:rsidP="00F75FB7">
      <w:r>
        <w:t xml:space="preserve">Telephone: +61 2 9382 9050. </w:t>
      </w:r>
    </w:p>
    <w:p w:rsidR="00355749" w:rsidRDefault="00355749" w:rsidP="00F75FB7">
      <w:r>
        <w:t xml:space="preserve">Facsimile: +61 2 9382 9210. </w:t>
      </w:r>
    </w:p>
    <w:p w:rsidR="00355749" w:rsidRDefault="00355749" w:rsidP="00F75FB7">
      <w:r>
        <w:t xml:space="preserve">Email: monica.lahra@health.nsw.gov.au </w:t>
      </w:r>
    </w:p>
    <w:p w:rsidR="00355749" w:rsidRPr="00AC050A" w:rsidRDefault="00355749" w:rsidP="00AC050A">
      <w:pPr>
        <w:pStyle w:val="Heading1"/>
      </w:pPr>
      <w:r w:rsidRPr="00AC050A">
        <w:t xml:space="preserve">References </w:t>
      </w:r>
    </w:p>
    <w:p w:rsidR="00355749" w:rsidRDefault="00355749" w:rsidP="00355749">
      <w:pPr>
        <w:numPr>
          <w:ilvl w:val="0"/>
          <w:numId w:val="7"/>
        </w:numPr>
        <w:spacing w:before="100" w:beforeAutospacing="1" w:after="100" w:afterAutospacing="1" w:line="240" w:lineRule="auto"/>
        <w:rPr>
          <w:rFonts w:eastAsia="Times New Roman"/>
        </w:rPr>
      </w:pPr>
      <w:proofErr w:type="spellStart"/>
      <w:r>
        <w:rPr>
          <w:rFonts w:eastAsia="Times New Roman"/>
        </w:rPr>
        <w:t>Centers</w:t>
      </w:r>
      <w:proofErr w:type="spellEnd"/>
      <w:r>
        <w:rPr>
          <w:rFonts w:eastAsia="Times New Roman"/>
        </w:rPr>
        <w:t xml:space="preserve"> for Disease Control and Prevention. </w:t>
      </w:r>
      <w:r w:rsidRPr="00F458E5">
        <w:rPr>
          <w:rStyle w:val="Emphasis"/>
          <w:rFonts w:eastAsia="Times New Roman"/>
          <w:b w:val="0"/>
        </w:rPr>
        <w:t>Antibiotic Resistance Threats in the United States</w:t>
      </w:r>
      <w:r>
        <w:rPr>
          <w:rFonts w:eastAsia="Times New Roman"/>
        </w:rPr>
        <w:t xml:space="preserve">. Atlanta: US Department of Health and Human Services, </w:t>
      </w:r>
      <w:proofErr w:type="spellStart"/>
      <w:r>
        <w:rPr>
          <w:rFonts w:eastAsia="Times New Roman"/>
        </w:rPr>
        <w:t>Centers</w:t>
      </w:r>
      <w:proofErr w:type="spellEnd"/>
      <w:r>
        <w:rPr>
          <w:rFonts w:eastAsia="Times New Roman"/>
        </w:rPr>
        <w:t xml:space="preserve"> for Disease Control and Prevention, 2013. </w:t>
      </w:r>
    </w:p>
    <w:p w:rsidR="00355749" w:rsidRDefault="00355749" w:rsidP="00355749">
      <w:pPr>
        <w:numPr>
          <w:ilvl w:val="0"/>
          <w:numId w:val="7"/>
        </w:numPr>
        <w:spacing w:before="100" w:beforeAutospacing="1" w:after="100" w:afterAutospacing="1" w:line="240" w:lineRule="auto"/>
        <w:rPr>
          <w:rFonts w:eastAsia="Times New Roman"/>
        </w:rPr>
      </w:pPr>
      <w:r>
        <w:rPr>
          <w:rFonts w:eastAsia="Times New Roman"/>
        </w:rPr>
        <w:t xml:space="preserve">Kirby Institute. </w:t>
      </w:r>
      <w:r w:rsidRPr="00F458E5">
        <w:rPr>
          <w:rStyle w:val="Emphasis"/>
          <w:rFonts w:eastAsia="Times New Roman"/>
          <w:b w:val="0"/>
        </w:rPr>
        <w:t>HIV, viral hepatitis and sexually transmissible infections in Australia: Annual Surveillance Report 2018</w:t>
      </w:r>
      <w:r>
        <w:rPr>
          <w:rFonts w:eastAsia="Times New Roman"/>
        </w:rPr>
        <w:t xml:space="preserve">. Sydney: Kirby Institute, UNSW Sydney, 2018. Available from: https://kirby.unsw.edu.au/sites/default/files/kirby/report/KI_Annual-Surveillance-Report-2018.pdf. </w:t>
      </w:r>
    </w:p>
    <w:p w:rsidR="00355749" w:rsidRDefault="00355749" w:rsidP="00355749">
      <w:pPr>
        <w:numPr>
          <w:ilvl w:val="0"/>
          <w:numId w:val="7"/>
        </w:numPr>
        <w:spacing w:before="100" w:beforeAutospacing="1" w:after="100" w:afterAutospacing="1" w:line="240" w:lineRule="auto"/>
        <w:rPr>
          <w:rFonts w:eastAsia="Times New Roman"/>
        </w:rPr>
      </w:pPr>
      <w:r>
        <w:rPr>
          <w:rFonts w:eastAsia="Times New Roman"/>
        </w:rPr>
        <w:t xml:space="preserve">Lahra MM, Martin I, </w:t>
      </w:r>
      <w:proofErr w:type="spellStart"/>
      <w:r>
        <w:rPr>
          <w:rFonts w:eastAsia="Times New Roman"/>
        </w:rPr>
        <w:t>Demczuk</w:t>
      </w:r>
      <w:proofErr w:type="spellEnd"/>
      <w:r>
        <w:rPr>
          <w:rFonts w:eastAsia="Times New Roman"/>
        </w:rPr>
        <w:t xml:space="preserve"> W, Jennison AV, Lee KI, Nakayama SI et al. Cooperative recognition of internationally disseminated ceftriaxone-resistant </w:t>
      </w:r>
      <w:r w:rsidRPr="00F458E5">
        <w:rPr>
          <w:rStyle w:val="Emphasis"/>
          <w:rFonts w:eastAsia="Times New Roman"/>
          <w:b w:val="0"/>
        </w:rPr>
        <w:t xml:space="preserve">Neisseria </w:t>
      </w:r>
      <w:proofErr w:type="spellStart"/>
      <w:r w:rsidRPr="00F458E5">
        <w:rPr>
          <w:rStyle w:val="Emphasis"/>
          <w:rFonts w:eastAsia="Times New Roman"/>
          <w:b w:val="0"/>
        </w:rPr>
        <w:t>gonorrhoeae</w:t>
      </w:r>
      <w:proofErr w:type="spellEnd"/>
      <w:r>
        <w:rPr>
          <w:rFonts w:eastAsia="Times New Roman"/>
        </w:rPr>
        <w:t xml:space="preserve"> strain. </w:t>
      </w:r>
      <w:proofErr w:type="spellStart"/>
      <w:r w:rsidRPr="00F458E5">
        <w:rPr>
          <w:rStyle w:val="Emphasis"/>
          <w:rFonts w:eastAsia="Times New Roman"/>
          <w:b w:val="0"/>
        </w:rPr>
        <w:t>Emerg</w:t>
      </w:r>
      <w:proofErr w:type="spellEnd"/>
      <w:r w:rsidRPr="00F458E5">
        <w:rPr>
          <w:rStyle w:val="Emphasis"/>
          <w:rFonts w:eastAsia="Times New Roman"/>
          <w:b w:val="0"/>
        </w:rPr>
        <w:t xml:space="preserve"> Infect Dis</w:t>
      </w:r>
      <w:r>
        <w:rPr>
          <w:rFonts w:eastAsia="Times New Roman"/>
        </w:rPr>
        <w:t>. 2018</w:t>
      </w:r>
      <w:proofErr w:type="gramStart"/>
      <w:r>
        <w:rPr>
          <w:rFonts w:eastAsia="Times New Roman"/>
        </w:rPr>
        <w:t>;24</w:t>
      </w:r>
      <w:proofErr w:type="gramEnd"/>
      <w:r>
        <w:rPr>
          <w:rFonts w:eastAsia="Times New Roman"/>
        </w:rPr>
        <w:t xml:space="preserve">(4). https://doi.org/10.3201/eid2404.171873. </w:t>
      </w:r>
    </w:p>
    <w:p w:rsidR="00355749" w:rsidRDefault="00355749" w:rsidP="00355749">
      <w:pPr>
        <w:numPr>
          <w:ilvl w:val="0"/>
          <w:numId w:val="7"/>
        </w:numPr>
        <w:spacing w:before="100" w:beforeAutospacing="1" w:after="100" w:afterAutospacing="1" w:line="240" w:lineRule="auto"/>
        <w:rPr>
          <w:rFonts w:eastAsia="Times New Roman"/>
        </w:rPr>
      </w:pPr>
      <w:r>
        <w:rPr>
          <w:rFonts w:eastAsia="Times New Roman"/>
        </w:rPr>
        <w:t xml:space="preserve">Lahra MM, Enriquez R. Australian Gonococcal Surveillance Programme Annual Report, 2016. </w:t>
      </w:r>
      <w:proofErr w:type="spellStart"/>
      <w:r w:rsidRPr="00F458E5">
        <w:rPr>
          <w:rStyle w:val="Emphasis"/>
          <w:rFonts w:eastAsia="Times New Roman"/>
          <w:b w:val="0"/>
        </w:rPr>
        <w:t>Commun</w:t>
      </w:r>
      <w:proofErr w:type="spellEnd"/>
      <w:r w:rsidRPr="00F458E5">
        <w:rPr>
          <w:rStyle w:val="Emphasis"/>
          <w:rFonts w:eastAsia="Times New Roman"/>
          <w:b w:val="0"/>
        </w:rPr>
        <w:t xml:space="preserve"> Dis </w:t>
      </w:r>
      <w:proofErr w:type="spellStart"/>
      <w:r w:rsidRPr="00F458E5">
        <w:rPr>
          <w:rStyle w:val="Emphasis"/>
          <w:rFonts w:eastAsia="Times New Roman"/>
          <w:b w:val="0"/>
        </w:rPr>
        <w:t>Intell</w:t>
      </w:r>
      <w:proofErr w:type="spellEnd"/>
      <w:r w:rsidRPr="00F458E5">
        <w:rPr>
          <w:rStyle w:val="Emphasis"/>
          <w:rFonts w:eastAsia="Times New Roman"/>
          <w:b w:val="0"/>
        </w:rPr>
        <w:t xml:space="preserve"> (2018)</w:t>
      </w:r>
      <w:r>
        <w:rPr>
          <w:rFonts w:eastAsia="Times New Roman"/>
        </w:rPr>
        <w:t>. 2018</w:t>
      </w:r>
      <w:proofErr w:type="gramStart"/>
      <w:r>
        <w:rPr>
          <w:rFonts w:eastAsia="Times New Roman"/>
        </w:rPr>
        <w:t>;42</w:t>
      </w:r>
      <w:proofErr w:type="gramEnd"/>
      <w:r>
        <w:rPr>
          <w:rFonts w:eastAsia="Times New Roman"/>
        </w:rPr>
        <w:t xml:space="preserve">. </w:t>
      </w:r>
      <w:proofErr w:type="spellStart"/>
      <w:proofErr w:type="gramStart"/>
      <w:r>
        <w:rPr>
          <w:rFonts w:eastAsia="Times New Roman"/>
        </w:rPr>
        <w:t>pii</w:t>
      </w:r>
      <w:proofErr w:type="spellEnd"/>
      <w:proofErr w:type="gramEnd"/>
      <w:r>
        <w:rPr>
          <w:rFonts w:eastAsia="Times New Roman"/>
        </w:rPr>
        <w:t xml:space="preserve">: S2209-6051(18)00013-1. </w:t>
      </w:r>
    </w:p>
    <w:p w:rsidR="00355749" w:rsidRDefault="00355749" w:rsidP="00355749">
      <w:pPr>
        <w:numPr>
          <w:ilvl w:val="0"/>
          <w:numId w:val="7"/>
        </w:numPr>
        <w:spacing w:before="100" w:beforeAutospacing="1" w:after="100" w:afterAutospacing="1" w:line="240" w:lineRule="auto"/>
        <w:rPr>
          <w:rFonts w:eastAsia="Times New Roman"/>
        </w:rPr>
      </w:pPr>
      <w:r>
        <w:rPr>
          <w:rFonts w:eastAsia="Times New Roman"/>
        </w:rPr>
        <w:t xml:space="preserve">Australasian Sexual Health Alliance. Australian STI management guidelines for use in primary care: Gonorrhoea. [Internet.] Australasian Sexual Health Alliance, 2018. Available from: http://www.sti.guidelines.org.au/sexually-transmissible-infections/gonorrhoea. </w:t>
      </w:r>
    </w:p>
    <w:p w:rsidR="00355749" w:rsidRDefault="00355749" w:rsidP="00355749">
      <w:pPr>
        <w:numPr>
          <w:ilvl w:val="0"/>
          <w:numId w:val="7"/>
        </w:numPr>
        <w:spacing w:before="100" w:beforeAutospacing="1" w:after="100" w:afterAutospacing="1" w:line="240" w:lineRule="auto"/>
        <w:rPr>
          <w:rFonts w:eastAsia="Times New Roman"/>
        </w:rPr>
      </w:pPr>
      <w:r>
        <w:rPr>
          <w:rFonts w:eastAsia="Times New Roman"/>
        </w:rPr>
        <w:t xml:space="preserve">Lahra MM, Ward </w:t>
      </w:r>
      <w:proofErr w:type="gramStart"/>
      <w:r>
        <w:rPr>
          <w:rFonts w:eastAsia="Times New Roman"/>
        </w:rPr>
        <w:t>A</w:t>
      </w:r>
      <w:proofErr w:type="gramEnd"/>
      <w:r>
        <w:rPr>
          <w:rFonts w:eastAsia="Times New Roman"/>
        </w:rPr>
        <w:t xml:space="preserve">, </w:t>
      </w:r>
      <w:proofErr w:type="spellStart"/>
      <w:r>
        <w:rPr>
          <w:rFonts w:eastAsia="Times New Roman"/>
        </w:rPr>
        <w:t>Trembizki</w:t>
      </w:r>
      <w:proofErr w:type="spellEnd"/>
      <w:r>
        <w:rPr>
          <w:rFonts w:eastAsia="Times New Roman"/>
        </w:rPr>
        <w:t xml:space="preserve"> E, </w:t>
      </w:r>
      <w:proofErr w:type="spellStart"/>
      <w:r>
        <w:rPr>
          <w:rFonts w:eastAsia="Times New Roman"/>
        </w:rPr>
        <w:t>Hermanson</w:t>
      </w:r>
      <w:proofErr w:type="spellEnd"/>
      <w:r>
        <w:rPr>
          <w:rFonts w:eastAsia="Times New Roman"/>
        </w:rPr>
        <w:t xml:space="preserve"> J, Clements E, Lawrence A et al. Treatment guidelines after an outbreak of </w:t>
      </w:r>
      <w:r w:rsidR="002D5458">
        <w:rPr>
          <w:rFonts w:eastAsia="Times New Roman"/>
        </w:rPr>
        <w:t>azithromycin resistant</w:t>
      </w:r>
      <w:r>
        <w:rPr>
          <w:rFonts w:eastAsia="Times New Roman"/>
        </w:rPr>
        <w:t xml:space="preserve"> </w:t>
      </w:r>
      <w:r w:rsidRPr="00905077">
        <w:rPr>
          <w:rFonts w:eastAsia="Times New Roman"/>
          <w:i/>
        </w:rPr>
        <w:t xml:space="preserve">Neisseria </w:t>
      </w:r>
      <w:proofErr w:type="spellStart"/>
      <w:r w:rsidRPr="00905077">
        <w:rPr>
          <w:rFonts w:eastAsia="Times New Roman"/>
          <w:i/>
        </w:rPr>
        <w:t>gonorrhoeae</w:t>
      </w:r>
      <w:proofErr w:type="spellEnd"/>
      <w:r>
        <w:rPr>
          <w:rFonts w:eastAsia="Times New Roman"/>
        </w:rPr>
        <w:t xml:space="preserve"> in South Australia. </w:t>
      </w:r>
      <w:r w:rsidRPr="00F458E5">
        <w:rPr>
          <w:rStyle w:val="Emphasis"/>
          <w:rFonts w:eastAsia="Times New Roman"/>
          <w:b w:val="0"/>
        </w:rPr>
        <w:t>Lancet Infect Dis</w:t>
      </w:r>
      <w:r>
        <w:rPr>
          <w:rFonts w:eastAsia="Times New Roman"/>
        </w:rPr>
        <w:t>. 2017</w:t>
      </w:r>
      <w:proofErr w:type="gramStart"/>
      <w:r>
        <w:rPr>
          <w:rFonts w:eastAsia="Times New Roman"/>
        </w:rPr>
        <w:t>;17</w:t>
      </w:r>
      <w:proofErr w:type="gramEnd"/>
      <w:r>
        <w:rPr>
          <w:rFonts w:eastAsia="Times New Roman"/>
        </w:rPr>
        <w:t xml:space="preserve">(2):133–4. </w:t>
      </w:r>
    </w:p>
    <w:p w:rsidR="00355749" w:rsidRDefault="00355749" w:rsidP="00355749">
      <w:pPr>
        <w:numPr>
          <w:ilvl w:val="0"/>
          <w:numId w:val="7"/>
        </w:numPr>
        <w:spacing w:before="100" w:beforeAutospacing="1" w:after="100" w:afterAutospacing="1" w:line="240" w:lineRule="auto"/>
        <w:rPr>
          <w:rFonts w:eastAsia="Times New Roman"/>
        </w:rPr>
      </w:pPr>
      <w:r>
        <w:rPr>
          <w:rFonts w:eastAsia="Times New Roman"/>
        </w:rPr>
        <w:t xml:space="preserve">Family Planning Association. Sexually transmitted infections factsheet. [Internet.] United Kingdom: Family Planning Association, 2016. Available from: https://www.fpa.org.uk/factsheets/sexually-transmitted-infections. </w:t>
      </w:r>
    </w:p>
    <w:p w:rsidR="00355749" w:rsidRDefault="00355749" w:rsidP="00355749">
      <w:pPr>
        <w:numPr>
          <w:ilvl w:val="0"/>
          <w:numId w:val="7"/>
        </w:numPr>
        <w:spacing w:before="100" w:beforeAutospacing="1" w:after="100" w:afterAutospacing="1" w:line="240" w:lineRule="auto"/>
        <w:rPr>
          <w:rFonts w:eastAsia="Times New Roman"/>
        </w:rPr>
      </w:pPr>
      <w:proofErr w:type="spellStart"/>
      <w:r>
        <w:rPr>
          <w:rFonts w:eastAsia="Times New Roman"/>
        </w:rPr>
        <w:t>Centers</w:t>
      </w:r>
      <w:proofErr w:type="spellEnd"/>
      <w:r>
        <w:rPr>
          <w:rFonts w:eastAsia="Times New Roman"/>
        </w:rPr>
        <w:t xml:space="preserve"> for Disease Control and Prevention. </w:t>
      </w:r>
      <w:r w:rsidRPr="00F458E5">
        <w:rPr>
          <w:rStyle w:val="Emphasis"/>
          <w:rFonts w:eastAsia="Times New Roman"/>
          <w:b w:val="0"/>
        </w:rPr>
        <w:t>2016 Sexually Transmitted Diseases Surveillance Report</w:t>
      </w:r>
      <w:r>
        <w:rPr>
          <w:rFonts w:eastAsia="Times New Roman"/>
        </w:rPr>
        <w:t xml:space="preserve">. Atlanta: U.S. Department of Health and Human Services, </w:t>
      </w:r>
      <w:proofErr w:type="spellStart"/>
      <w:r>
        <w:rPr>
          <w:rFonts w:eastAsia="Times New Roman"/>
        </w:rPr>
        <w:t>Centers</w:t>
      </w:r>
      <w:proofErr w:type="spellEnd"/>
      <w:r>
        <w:rPr>
          <w:rFonts w:eastAsia="Times New Roman"/>
        </w:rPr>
        <w:t xml:space="preserve"> for Disease Control and Prevention, 2017. </w:t>
      </w:r>
    </w:p>
    <w:p w:rsidR="00355749" w:rsidRDefault="00355749" w:rsidP="00355749">
      <w:pPr>
        <w:numPr>
          <w:ilvl w:val="0"/>
          <w:numId w:val="7"/>
        </w:numPr>
        <w:spacing w:before="100" w:beforeAutospacing="1" w:after="100" w:afterAutospacing="1" w:line="240" w:lineRule="auto"/>
        <w:rPr>
          <w:rFonts w:eastAsia="Times New Roman"/>
        </w:rPr>
      </w:pPr>
      <w:r>
        <w:rPr>
          <w:rFonts w:eastAsia="Times New Roman"/>
        </w:rPr>
        <w:lastRenderedPageBreak/>
        <w:t>European Centre for Disease Prevention and Control. Annual Epidemiological Report 2016 – Gonorrhoea. [Internet.] Stockholm: European Centre for Disease Prevention and Control, 2016. Available from: https://ecdc.europa.eu/sites/portal/files/documents/Gonorrhoea%20AER_</w:t>
      </w:r>
      <w:proofErr w:type="gramStart"/>
      <w:r>
        <w:rPr>
          <w:rFonts w:eastAsia="Times New Roman"/>
        </w:rPr>
        <w:t>0.pdf .</w:t>
      </w:r>
      <w:proofErr w:type="gramEnd"/>
      <w:r>
        <w:rPr>
          <w:rFonts w:eastAsia="Times New Roman"/>
        </w:rPr>
        <w:t xml:space="preserve"> </w:t>
      </w:r>
    </w:p>
    <w:p w:rsidR="00355749" w:rsidRDefault="00355749" w:rsidP="00355749">
      <w:pPr>
        <w:numPr>
          <w:ilvl w:val="0"/>
          <w:numId w:val="7"/>
        </w:numPr>
        <w:spacing w:before="100" w:beforeAutospacing="1" w:after="100" w:afterAutospacing="1" w:line="240" w:lineRule="auto"/>
        <w:rPr>
          <w:rFonts w:eastAsia="Times New Roman"/>
        </w:rPr>
      </w:pPr>
      <w:r>
        <w:rPr>
          <w:rFonts w:eastAsia="Times New Roman"/>
        </w:rPr>
        <w:t xml:space="preserve">Government of Canada. </w:t>
      </w:r>
      <w:proofErr w:type="spellStart"/>
      <w:r>
        <w:rPr>
          <w:rFonts w:eastAsia="Times New Roman"/>
        </w:rPr>
        <w:t>Gonorrhea</w:t>
      </w:r>
      <w:proofErr w:type="spellEnd"/>
      <w:r>
        <w:rPr>
          <w:rFonts w:eastAsia="Times New Roman"/>
        </w:rPr>
        <w:t xml:space="preserve">. [Internet.] Ottawa: Government of Canada, 2017. Available from: https://www.canada.ca/en/public-health/services/diseases/gonorrhea.html. </w:t>
      </w:r>
    </w:p>
    <w:p w:rsidR="00355749" w:rsidRDefault="00355749" w:rsidP="00355749">
      <w:pPr>
        <w:numPr>
          <w:ilvl w:val="0"/>
          <w:numId w:val="7"/>
        </w:numPr>
        <w:spacing w:before="100" w:beforeAutospacing="1" w:after="100" w:afterAutospacing="1" w:line="240" w:lineRule="auto"/>
        <w:rPr>
          <w:rFonts w:eastAsia="Times New Roman"/>
        </w:rPr>
      </w:pPr>
      <w:proofErr w:type="spellStart"/>
      <w:r>
        <w:rPr>
          <w:rFonts w:eastAsia="Times New Roman"/>
        </w:rPr>
        <w:t>Goire</w:t>
      </w:r>
      <w:proofErr w:type="spellEnd"/>
      <w:r>
        <w:rPr>
          <w:rFonts w:eastAsia="Times New Roman"/>
        </w:rPr>
        <w:t xml:space="preserve"> N, Freeman K, </w:t>
      </w:r>
      <w:proofErr w:type="spellStart"/>
      <w:r>
        <w:rPr>
          <w:rFonts w:eastAsia="Times New Roman"/>
        </w:rPr>
        <w:t>Tapsall</w:t>
      </w:r>
      <w:proofErr w:type="spellEnd"/>
      <w:r>
        <w:rPr>
          <w:rFonts w:eastAsia="Times New Roman"/>
        </w:rPr>
        <w:t xml:space="preserve"> JW, Lambert SB, </w:t>
      </w:r>
      <w:proofErr w:type="spellStart"/>
      <w:r>
        <w:rPr>
          <w:rFonts w:eastAsia="Times New Roman"/>
        </w:rPr>
        <w:t>Nissen</w:t>
      </w:r>
      <w:proofErr w:type="spellEnd"/>
      <w:r>
        <w:rPr>
          <w:rFonts w:eastAsia="Times New Roman"/>
        </w:rPr>
        <w:t xml:space="preserve"> MD, </w:t>
      </w:r>
      <w:proofErr w:type="spellStart"/>
      <w:r>
        <w:rPr>
          <w:rFonts w:eastAsia="Times New Roman"/>
        </w:rPr>
        <w:t>Sloots</w:t>
      </w:r>
      <w:proofErr w:type="spellEnd"/>
      <w:r>
        <w:rPr>
          <w:rFonts w:eastAsia="Times New Roman"/>
        </w:rPr>
        <w:t xml:space="preserve"> TP et al. </w:t>
      </w:r>
      <w:proofErr w:type="gramStart"/>
      <w:r>
        <w:rPr>
          <w:rFonts w:eastAsia="Times New Roman"/>
        </w:rPr>
        <w:t>Enhancing</w:t>
      </w:r>
      <w:proofErr w:type="gramEnd"/>
      <w:r>
        <w:rPr>
          <w:rFonts w:eastAsia="Times New Roman"/>
        </w:rPr>
        <w:t xml:space="preserve"> gonococcal antimicrobial resistance surveillance: a real-rime PCR assay for detection of </w:t>
      </w:r>
      <w:proofErr w:type="spellStart"/>
      <w:r>
        <w:rPr>
          <w:rFonts w:eastAsia="Times New Roman"/>
        </w:rPr>
        <w:t>penicillinase</w:t>
      </w:r>
      <w:proofErr w:type="spellEnd"/>
      <w:r>
        <w:rPr>
          <w:rFonts w:eastAsia="Times New Roman"/>
        </w:rPr>
        <w:t xml:space="preserve">-producing </w:t>
      </w:r>
      <w:r w:rsidRPr="00F458E5">
        <w:rPr>
          <w:rStyle w:val="Emphasis"/>
          <w:rFonts w:eastAsia="Times New Roman"/>
          <w:b w:val="0"/>
        </w:rPr>
        <w:t xml:space="preserve">Neisseria </w:t>
      </w:r>
      <w:proofErr w:type="spellStart"/>
      <w:r w:rsidRPr="00F458E5">
        <w:rPr>
          <w:rStyle w:val="Emphasis"/>
          <w:rFonts w:eastAsia="Times New Roman"/>
          <w:b w:val="0"/>
        </w:rPr>
        <w:t>gonorrhoeae</w:t>
      </w:r>
      <w:proofErr w:type="spellEnd"/>
      <w:r>
        <w:rPr>
          <w:rFonts w:eastAsia="Times New Roman"/>
        </w:rPr>
        <w:t xml:space="preserve"> by use of </w:t>
      </w:r>
      <w:proofErr w:type="spellStart"/>
      <w:r>
        <w:rPr>
          <w:rFonts w:eastAsia="Times New Roman"/>
        </w:rPr>
        <w:t>noncultured</w:t>
      </w:r>
      <w:proofErr w:type="spellEnd"/>
      <w:r>
        <w:rPr>
          <w:rFonts w:eastAsia="Times New Roman"/>
        </w:rPr>
        <w:t xml:space="preserve"> clinical samples. </w:t>
      </w:r>
      <w:r w:rsidRPr="00F458E5">
        <w:rPr>
          <w:rStyle w:val="Emphasis"/>
          <w:rFonts w:eastAsia="Times New Roman"/>
          <w:b w:val="0"/>
        </w:rPr>
        <w:t xml:space="preserve">J </w:t>
      </w:r>
      <w:proofErr w:type="spellStart"/>
      <w:r w:rsidRPr="00F458E5">
        <w:rPr>
          <w:rStyle w:val="Emphasis"/>
          <w:rFonts w:eastAsia="Times New Roman"/>
          <w:b w:val="0"/>
        </w:rPr>
        <w:t>Clin</w:t>
      </w:r>
      <w:proofErr w:type="spellEnd"/>
      <w:r w:rsidRPr="00F458E5">
        <w:rPr>
          <w:rStyle w:val="Emphasis"/>
          <w:rFonts w:eastAsia="Times New Roman"/>
          <w:b w:val="0"/>
        </w:rPr>
        <w:t xml:space="preserve"> </w:t>
      </w:r>
      <w:proofErr w:type="spellStart"/>
      <w:r w:rsidRPr="00F458E5">
        <w:rPr>
          <w:rStyle w:val="Emphasis"/>
          <w:rFonts w:eastAsia="Times New Roman"/>
          <w:b w:val="0"/>
        </w:rPr>
        <w:t>Microbiol</w:t>
      </w:r>
      <w:proofErr w:type="spellEnd"/>
      <w:r w:rsidRPr="00F458E5">
        <w:rPr>
          <w:rStyle w:val="Emphasis"/>
          <w:rFonts w:eastAsia="Times New Roman"/>
          <w:b w:val="0"/>
        </w:rPr>
        <w:t>.</w:t>
      </w:r>
      <w:r>
        <w:rPr>
          <w:rFonts w:eastAsia="Times New Roman"/>
        </w:rPr>
        <w:t xml:space="preserve"> 2011</w:t>
      </w:r>
      <w:proofErr w:type="gramStart"/>
      <w:r>
        <w:rPr>
          <w:rFonts w:eastAsia="Times New Roman"/>
        </w:rPr>
        <w:t>;49</w:t>
      </w:r>
      <w:proofErr w:type="gramEnd"/>
      <w:r>
        <w:rPr>
          <w:rFonts w:eastAsia="Times New Roman"/>
        </w:rPr>
        <w:t xml:space="preserve">(2):513–8. </w:t>
      </w:r>
    </w:p>
    <w:p w:rsidR="00355749" w:rsidRDefault="00355749" w:rsidP="00355749">
      <w:pPr>
        <w:numPr>
          <w:ilvl w:val="0"/>
          <w:numId w:val="7"/>
        </w:numPr>
        <w:spacing w:before="100" w:beforeAutospacing="1" w:after="100" w:afterAutospacing="1" w:line="240" w:lineRule="auto"/>
        <w:rPr>
          <w:rFonts w:eastAsia="Times New Roman"/>
        </w:rPr>
      </w:pPr>
      <w:r>
        <w:rPr>
          <w:rFonts w:eastAsia="Times New Roman"/>
        </w:rPr>
        <w:t xml:space="preserve">Speers DJ, Fisk RE, </w:t>
      </w:r>
      <w:proofErr w:type="spellStart"/>
      <w:r>
        <w:rPr>
          <w:rFonts w:eastAsia="Times New Roman"/>
        </w:rPr>
        <w:t>Goire</w:t>
      </w:r>
      <w:proofErr w:type="spellEnd"/>
      <w:r>
        <w:rPr>
          <w:rFonts w:eastAsia="Times New Roman"/>
        </w:rPr>
        <w:t xml:space="preserve"> N, Mak DB. Non-culture </w:t>
      </w:r>
      <w:r w:rsidRPr="00F458E5">
        <w:rPr>
          <w:rStyle w:val="Emphasis"/>
          <w:rFonts w:eastAsia="Times New Roman"/>
          <w:b w:val="0"/>
        </w:rPr>
        <w:t xml:space="preserve">Neisseria </w:t>
      </w:r>
      <w:proofErr w:type="spellStart"/>
      <w:r w:rsidRPr="00F458E5">
        <w:rPr>
          <w:rStyle w:val="Emphasis"/>
          <w:rFonts w:eastAsia="Times New Roman"/>
          <w:b w:val="0"/>
        </w:rPr>
        <w:t>gonorrhoeae</w:t>
      </w:r>
      <w:proofErr w:type="spellEnd"/>
      <w:r>
        <w:rPr>
          <w:rFonts w:eastAsia="Times New Roman"/>
        </w:rPr>
        <w:t xml:space="preserve"> molecular </w:t>
      </w:r>
      <w:proofErr w:type="spellStart"/>
      <w:r>
        <w:rPr>
          <w:rFonts w:eastAsia="Times New Roman"/>
        </w:rPr>
        <w:t>penicillinase</w:t>
      </w:r>
      <w:proofErr w:type="spellEnd"/>
      <w:r>
        <w:rPr>
          <w:rFonts w:eastAsia="Times New Roman"/>
        </w:rPr>
        <w:t xml:space="preserve"> production surveillance demonstrates the long-term success of empirical dual therapy and informs gonorrhoea management guidelines in a highly endemic setting. </w:t>
      </w:r>
      <w:r w:rsidRPr="00F458E5">
        <w:rPr>
          <w:rStyle w:val="Emphasis"/>
          <w:rFonts w:eastAsia="Times New Roman"/>
          <w:b w:val="0"/>
        </w:rPr>
        <w:t xml:space="preserve">J </w:t>
      </w:r>
      <w:proofErr w:type="spellStart"/>
      <w:r w:rsidRPr="00F458E5">
        <w:rPr>
          <w:rStyle w:val="Emphasis"/>
          <w:rFonts w:eastAsia="Times New Roman"/>
          <w:b w:val="0"/>
        </w:rPr>
        <w:t>Antimicrob</w:t>
      </w:r>
      <w:proofErr w:type="spellEnd"/>
      <w:r w:rsidRPr="00F458E5">
        <w:rPr>
          <w:rStyle w:val="Emphasis"/>
          <w:rFonts w:eastAsia="Times New Roman"/>
          <w:b w:val="0"/>
        </w:rPr>
        <w:t xml:space="preserve"> </w:t>
      </w:r>
      <w:proofErr w:type="spellStart"/>
      <w:r w:rsidRPr="00F458E5">
        <w:rPr>
          <w:rStyle w:val="Emphasis"/>
          <w:rFonts w:eastAsia="Times New Roman"/>
          <w:b w:val="0"/>
        </w:rPr>
        <w:t>Chemother</w:t>
      </w:r>
      <w:proofErr w:type="spellEnd"/>
      <w:r>
        <w:rPr>
          <w:rFonts w:eastAsia="Times New Roman"/>
        </w:rPr>
        <w:t>. 2014</w:t>
      </w:r>
      <w:proofErr w:type="gramStart"/>
      <w:r>
        <w:rPr>
          <w:rFonts w:eastAsia="Times New Roman"/>
        </w:rPr>
        <w:t>;69</w:t>
      </w:r>
      <w:proofErr w:type="gramEnd"/>
      <w:r>
        <w:rPr>
          <w:rFonts w:eastAsia="Times New Roman"/>
        </w:rPr>
        <w:t xml:space="preserve">(5):1243–7. </w:t>
      </w:r>
    </w:p>
    <w:p w:rsidR="00355749" w:rsidRDefault="00355749" w:rsidP="00355749">
      <w:pPr>
        <w:numPr>
          <w:ilvl w:val="0"/>
          <w:numId w:val="7"/>
        </w:numPr>
        <w:spacing w:before="100" w:beforeAutospacing="1" w:after="100" w:afterAutospacing="1" w:line="240" w:lineRule="auto"/>
        <w:rPr>
          <w:rFonts w:eastAsia="Times New Roman"/>
        </w:rPr>
      </w:pPr>
      <w:r>
        <w:rPr>
          <w:rFonts w:eastAsia="Times New Roman"/>
        </w:rPr>
        <w:t xml:space="preserve">World Health Organization (WHO). </w:t>
      </w:r>
      <w:r w:rsidRPr="00F458E5">
        <w:rPr>
          <w:rStyle w:val="Emphasis"/>
          <w:rFonts w:eastAsia="Times New Roman"/>
          <w:b w:val="0"/>
        </w:rPr>
        <w:t>Report on global sexually transmitted infection surveillance 2018</w:t>
      </w:r>
      <w:r>
        <w:rPr>
          <w:rFonts w:eastAsia="Times New Roman"/>
        </w:rPr>
        <w:t xml:space="preserve">. Geneva: WHO, 2018. </w:t>
      </w:r>
    </w:p>
    <w:p w:rsidR="00355749" w:rsidRDefault="00355749" w:rsidP="00355749">
      <w:pPr>
        <w:numPr>
          <w:ilvl w:val="0"/>
          <w:numId w:val="7"/>
        </w:numPr>
        <w:spacing w:before="100" w:beforeAutospacing="1" w:after="100" w:afterAutospacing="1" w:line="240" w:lineRule="auto"/>
        <w:rPr>
          <w:rFonts w:eastAsia="Times New Roman"/>
        </w:rPr>
      </w:pPr>
      <w:r>
        <w:rPr>
          <w:rFonts w:eastAsia="Times New Roman"/>
        </w:rPr>
        <w:t xml:space="preserve">Lahra MM, Lo YR, </w:t>
      </w:r>
      <w:proofErr w:type="spellStart"/>
      <w:r>
        <w:rPr>
          <w:rFonts w:eastAsia="Times New Roman"/>
        </w:rPr>
        <w:t>Whiley</w:t>
      </w:r>
      <w:proofErr w:type="spellEnd"/>
      <w:r>
        <w:rPr>
          <w:rFonts w:eastAsia="Times New Roman"/>
        </w:rPr>
        <w:t xml:space="preserve"> DM. Gonococcal antimicrobial resistance in the Western Pacific Region. </w:t>
      </w:r>
      <w:r w:rsidRPr="00F458E5">
        <w:rPr>
          <w:rStyle w:val="Emphasis"/>
          <w:rFonts w:eastAsia="Times New Roman"/>
          <w:b w:val="0"/>
        </w:rPr>
        <w:t xml:space="preserve">Sex </w:t>
      </w:r>
      <w:proofErr w:type="spellStart"/>
      <w:r w:rsidRPr="00F458E5">
        <w:rPr>
          <w:rStyle w:val="Emphasis"/>
          <w:rFonts w:eastAsia="Times New Roman"/>
          <w:b w:val="0"/>
        </w:rPr>
        <w:t>Transm</w:t>
      </w:r>
      <w:proofErr w:type="spellEnd"/>
      <w:r w:rsidRPr="00F458E5">
        <w:rPr>
          <w:rStyle w:val="Emphasis"/>
          <w:rFonts w:eastAsia="Times New Roman"/>
          <w:b w:val="0"/>
        </w:rPr>
        <w:t xml:space="preserve"> Infect</w:t>
      </w:r>
      <w:r>
        <w:rPr>
          <w:rFonts w:eastAsia="Times New Roman"/>
        </w:rPr>
        <w:t>. 2013</w:t>
      </w:r>
      <w:proofErr w:type="gramStart"/>
      <w:r>
        <w:rPr>
          <w:rFonts w:eastAsia="Times New Roman"/>
        </w:rPr>
        <w:t>;89</w:t>
      </w:r>
      <w:proofErr w:type="gramEnd"/>
      <w:r>
        <w:rPr>
          <w:rFonts w:eastAsia="Times New Roman"/>
        </w:rPr>
        <w:t>(</w:t>
      </w:r>
      <w:proofErr w:type="spellStart"/>
      <w:r>
        <w:rPr>
          <w:rFonts w:eastAsia="Times New Roman"/>
        </w:rPr>
        <w:t>Suppl</w:t>
      </w:r>
      <w:proofErr w:type="spellEnd"/>
      <w:r>
        <w:rPr>
          <w:rFonts w:eastAsia="Times New Roman"/>
        </w:rPr>
        <w:t xml:space="preserve"> 4):iv19–23. </w:t>
      </w:r>
    </w:p>
    <w:p w:rsidR="00355749" w:rsidRDefault="00355749" w:rsidP="00355749">
      <w:pPr>
        <w:numPr>
          <w:ilvl w:val="0"/>
          <w:numId w:val="7"/>
        </w:numPr>
        <w:spacing w:before="100" w:beforeAutospacing="1" w:after="100" w:afterAutospacing="1" w:line="240" w:lineRule="auto"/>
        <w:rPr>
          <w:rFonts w:eastAsia="Times New Roman"/>
        </w:rPr>
      </w:pPr>
      <w:proofErr w:type="spellStart"/>
      <w:r>
        <w:rPr>
          <w:rFonts w:eastAsia="Times New Roman"/>
        </w:rPr>
        <w:t>Tapsall</w:t>
      </w:r>
      <w:proofErr w:type="spellEnd"/>
      <w:r>
        <w:rPr>
          <w:rFonts w:eastAsia="Times New Roman"/>
        </w:rPr>
        <w:t xml:space="preserve"> JW, </w:t>
      </w:r>
      <w:proofErr w:type="spellStart"/>
      <w:r>
        <w:rPr>
          <w:rFonts w:eastAsia="Times New Roman"/>
        </w:rPr>
        <w:t>Limnios</w:t>
      </w:r>
      <w:proofErr w:type="spellEnd"/>
      <w:r>
        <w:rPr>
          <w:rFonts w:eastAsia="Times New Roman"/>
        </w:rPr>
        <w:t xml:space="preserve"> EA, Murphy D. An analysis of trends in antimicrobial resistance in </w:t>
      </w:r>
      <w:r w:rsidRPr="00F458E5">
        <w:rPr>
          <w:rStyle w:val="Emphasis"/>
          <w:rFonts w:eastAsia="Times New Roman"/>
          <w:b w:val="0"/>
        </w:rPr>
        <w:t xml:space="preserve">Neisseria </w:t>
      </w:r>
      <w:proofErr w:type="spellStart"/>
      <w:r w:rsidRPr="00F458E5">
        <w:rPr>
          <w:rStyle w:val="Emphasis"/>
          <w:rFonts w:eastAsia="Times New Roman"/>
          <w:b w:val="0"/>
        </w:rPr>
        <w:t>gonorrhoeae</w:t>
      </w:r>
      <w:proofErr w:type="spellEnd"/>
      <w:r w:rsidRPr="00F458E5">
        <w:rPr>
          <w:rStyle w:val="Emphasis"/>
          <w:rFonts w:eastAsia="Times New Roman"/>
          <w:b w:val="0"/>
        </w:rPr>
        <w:t xml:space="preserve"> </w:t>
      </w:r>
      <w:r>
        <w:rPr>
          <w:rFonts w:eastAsia="Times New Roman"/>
        </w:rPr>
        <w:t xml:space="preserve">isolated in Australia, 1997 – 2006. </w:t>
      </w:r>
      <w:r w:rsidRPr="00F458E5">
        <w:rPr>
          <w:rStyle w:val="Emphasis"/>
          <w:rFonts w:eastAsia="Times New Roman"/>
          <w:b w:val="0"/>
        </w:rPr>
        <w:t xml:space="preserve">J </w:t>
      </w:r>
      <w:proofErr w:type="spellStart"/>
      <w:r w:rsidRPr="00F458E5">
        <w:rPr>
          <w:rStyle w:val="Emphasis"/>
          <w:rFonts w:eastAsia="Times New Roman"/>
          <w:b w:val="0"/>
        </w:rPr>
        <w:t>Antimicrob</w:t>
      </w:r>
      <w:proofErr w:type="spellEnd"/>
      <w:r w:rsidRPr="00F458E5">
        <w:rPr>
          <w:rStyle w:val="Emphasis"/>
          <w:rFonts w:eastAsia="Times New Roman"/>
          <w:b w:val="0"/>
        </w:rPr>
        <w:t xml:space="preserve"> </w:t>
      </w:r>
      <w:proofErr w:type="spellStart"/>
      <w:r w:rsidRPr="00F458E5">
        <w:rPr>
          <w:rStyle w:val="Emphasis"/>
          <w:rFonts w:eastAsia="Times New Roman"/>
          <w:b w:val="0"/>
        </w:rPr>
        <w:t>Chemother</w:t>
      </w:r>
      <w:proofErr w:type="spellEnd"/>
      <w:r>
        <w:rPr>
          <w:rFonts w:eastAsia="Times New Roman"/>
        </w:rPr>
        <w:t>. 2008</w:t>
      </w:r>
      <w:proofErr w:type="gramStart"/>
      <w:r>
        <w:rPr>
          <w:rFonts w:eastAsia="Times New Roman"/>
        </w:rPr>
        <w:t>;61</w:t>
      </w:r>
      <w:proofErr w:type="gramEnd"/>
      <w:r>
        <w:rPr>
          <w:rFonts w:eastAsia="Times New Roman"/>
        </w:rPr>
        <w:t xml:space="preserve">(1):150–5. </w:t>
      </w:r>
    </w:p>
    <w:p w:rsidR="00355749" w:rsidRDefault="00355749" w:rsidP="00355749">
      <w:pPr>
        <w:numPr>
          <w:ilvl w:val="0"/>
          <w:numId w:val="7"/>
        </w:numPr>
        <w:spacing w:before="100" w:beforeAutospacing="1" w:after="100" w:afterAutospacing="1" w:line="240" w:lineRule="auto"/>
        <w:rPr>
          <w:rFonts w:eastAsia="Times New Roman"/>
        </w:rPr>
      </w:pPr>
      <w:proofErr w:type="spellStart"/>
      <w:r>
        <w:rPr>
          <w:rFonts w:eastAsia="Times New Roman"/>
        </w:rPr>
        <w:t>Tapsall</w:t>
      </w:r>
      <w:proofErr w:type="spellEnd"/>
      <w:r>
        <w:rPr>
          <w:rFonts w:eastAsia="Times New Roman"/>
        </w:rPr>
        <w:t xml:space="preserve"> J, World Health Organization (WHO) Anti-Infective Drug Resistance Surveillance and Containment Team. </w:t>
      </w:r>
      <w:r w:rsidRPr="00F458E5">
        <w:rPr>
          <w:rStyle w:val="Emphasis"/>
          <w:rFonts w:eastAsia="Times New Roman"/>
          <w:b w:val="0"/>
        </w:rPr>
        <w:t xml:space="preserve">Antimicrobial resistance in Neisseria </w:t>
      </w:r>
      <w:proofErr w:type="spellStart"/>
      <w:r w:rsidRPr="00F458E5">
        <w:rPr>
          <w:rStyle w:val="Emphasis"/>
          <w:rFonts w:eastAsia="Times New Roman"/>
          <w:b w:val="0"/>
        </w:rPr>
        <w:t>gonorrhoeae</w:t>
      </w:r>
      <w:proofErr w:type="spellEnd"/>
      <w:r>
        <w:rPr>
          <w:rFonts w:eastAsia="Times New Roman"/>
        </w:rPr>
        <w:t xml:space="preserve">. Switzerland: World Health Organization, 2001. Available from: https://apps.who.int/iris/handle/10665/66963. </w:t>
      </w:r>
    </w:p>
    <w:p w:rsidR="00355749" w:rsidRDefault="00355749" w:rsidP="00355749">
      <w:pPr>
        <w:numPr>
          <w:ilvl w:val="0"/>
          <w:numId w:val="7"/>
        </w:numPr>
        <w:spacing w:before="100" w:beforeAutospacing="1" w:after="100" w:afterAutospacing="1" w:line="240" w:lineRule="auto"/>
        <w:rPr>
          <w:rFonts w:eastAsia="Times New Roman"/>
        </w:rPr>
      </w:pPr>
      <w:r>
        <w:rPr>
          <w:rFonts w:eastAsia="Times New Roman"/>
        </w:rPr>
        <w:t xml:space="preserve">World Health Organization (WHO), Department of Reproductive Health and Research. </w:t>
      </w:r>
      <w:r w:rsidRPr="00F458E5">
        <w:rPr>
          <w:rStyle w:val="Emphasis"/>
          <w:rFonts w:eastAsia="Times New Roman"/>
          <w:b w:val="0"/>
        </w:rPr>
        <w:t xml:space="preserve">Global action plan to control the spread and impact of antimicrobial resistance in Neisseria </w:t>
      </w:r>
      <w:proofErr w:type="spellStart"/>
      <w:r w:rsidRPr="00F458E5">
        <w:rPr>
          <w:rStyle w:val="Emphasis"/>
          <w:rFonts w:eastAsia="Times New Roman"/>
          <w:b w:val="0"/>
        </w:rPr>
        <w:t>gonorrhoeae</w:t>
      </w:r>
      <w:proofErr w:type="spellEnd"/>
      <w:r>
        <w:rPr>
          <w:rFonts w:eastAsia="Times New Roman"/>
        </w:rPr>
        <w:t xml:space="preserve">. Switzerland: WHO, 2012. </w:t>
      </w:r>
    </w:p>
    <w:p w:rsidR="00355749" w:rsidRDefault="00355749" w:rsidP="00355749">
      <w:pPr>
        <w:numPr>
          <w:ilvl w:val="0"/>
          <w:numId w:val="7"/>
        </w:numPr>
        <w:spacing w:before="100" w:beforeAutospacing="1" w:after="100" w:afterAutospacing="1" w:line="240" w:lineRule="auto"/>
        <w:rPr>
          <w:rFonts w:eastAsia="Times New Roman"/>
        </w:rPr>
      </w:pPr>
      <w:r>
        <w:rPr>
          <w:rFonts w:eastAsia="Times New Roman"/>
        </w:rPr>
        <w:t xml:space="preserve">Bell SM, Pham JN, Rafferty DL, </w:t>
      </w:r>
      <w:proofErr w:type="spellStart"/>
      <w:r>
        <w:rPr>
          <w:rFonts w:eastAsia="Times New Roman"/>
        </w:rPr>
        <w:t>Allerton</w:t>
      </w:r>
      <w:proofErr w:type="spellEnd"/>
      <w:r>
        <w:rPr>
          <w:rFonts w:eastAsia="Times New Roman"/>
        </w:rPr>
        <w:t xml:space="preserve"> JK. </w:t>
      </w:r>
      <w:r w:rsidRPr="00F458E5">
        <w:rPr>
          <w:rStyle w:val="Emphasis"/>
          <w:rFonts w:eastAsia="Times New Roman"/>
          <w:b w:val="0"/>
        </w:rPr>
        <w:t>Antibiotic susceptibility testing by the CDS method: A manual for medical and veterinary laboratories</w:t>
      </w:r>
      <w:r>
        <w:rPr>
          <w:rFonts w:eastAsia="Times New Roman"/>
        </w:rPr>
        <w:t xml:space="preserve">. 8th ed. Kogarah, NSW: South Eastern Area Laboratory Services, 2016. </w:t>
      </w:r>
    </w:p>
    <w:p w:rsidR="00355749" w:rsidRDefault="00355749" w:rsidP="00355749">
      <w:pPr>
        <w:numPr>
          <w:ilvl w:val="0"/>
          <w:numId w:val="7"/>
        </w:numPr>
        <w:spacing w:before="100" w:beforeAutospacing="1" w:after="100" w:afterAutospacing="1" w:line="240" w:lineRule="auto"/>
        <w:rPr>
          <w:rFonts w:eastAsia="Times New Roman"/>
        </w:rPr>
      </w:pPr>
      <w:proofErr w:type="spellStart"/>
      <w:r>
        <w:rPr>
          <w:rFonts w:eastAsia="Times New Roman"/>
        </w:rPr>
        <w:t>Tapsall</w:t>
      </w:r>
      <w:proofErr w:type="spellEnd"/>
      <w:r>
        <w:rPr>
          <w:rFonts w:eastAsia="Times New Roman"/>
        </w:rPr>
        <w:t xml:space="preserve"> JW. Use of a quality assurance scheme in a long-term </w:t>
      </w:r>
      <w:proofErr w:type="spellStart"/>
      <w:r>
        <w:rPr>
          <w:rFonts w:eastAsia="Times New Roman"/>
        </w:rPr>
        <w:t>multicentric</w:t>
      </w:r>
      <w:proofErr w:type="spellEnd"/>
      <w:r>
        <w:rPr>
          <w:rFonts w:eastAsia="Times New Roman"/>
        </w:rPr>
        <w:t xml:space="preserve"> study of antibiotic susceptibility of </w:t>
      </w:r>
      <w:r w:rsidRPr="00F458E5">
        <w:rPr>
          <w:rStyle w:val="Emphasis"/>
          <w:rFonts w:eastAsia="Times New Roman"/>
          <w:b w:val="0"/>
        </w:rPr>
        <w:t xml:space="preserve">Neisseria </w:t>
      </w:r>
      <w:proofErr w:type="spellStart"/>
      <w:r w:rsidRPr="00F458E5">
        <w:rPr>
          <w:rStyle w:val="Emphasis"/>
          <w:rFonts w:eastAsia="Times New Roman"/>
          <w:b w:val="0"/>
        </w:rPr>
        <w:t>gonorrhoeae</w:t>
      </w:r>
      <w:proofErr w:type="spellEnd"/>
      <w:r>
        <w:rPr>
          <w:rFonts w:eastAsia="Times New Roman"/>
        </w:rPr>
        <w:t xml:space="preserve">. </w:t>
      </w:r>
      <w:proofErr w:type="spellStart"/>
      <w:r w:rsidRPr="00F458E5">
        <w:rPr>
          <w:rStyle w:val="Emphasis"/>
          <w:rFonts w:eastAsia="Times New Roman"/>
          <w:b w:val="0"/>
        </w:rPr>
        <w:t>Genitourin</w:t>
      </w:r>
      <w:proofErr w:type="spellEnd"/>
      <w:r w:rsidRPr="00F458E5">
        <w:rPr>
          <w:rStyle w:val="Emphasis"/>
          <w:rFonts w:eastAsia="Times New Roman"/>
          <w:b w:val="0"/>
        </w:rPr>
        <w:t xml:space="preserve"> Med</w:t>
      </w:r>
      <w:r>
        <w:rPr>
          <w:rFonts w:eastAsia="Times New Roman"/>
        </w:rPr>
        <w:t>. 1990</w:t>
      </w:r>
      <w:proofErr w:type="gramStart"/>
      <w:r>
        <w:rPr>
          <w:rFonts w:eastAsia="Times New Roman"/>
        </w:rPr>
        <w:t>;66</w:t>
      </w:r>
      <w:proofErr w:type="gramEnd"/>
      <w:r>
        <w:rPr>
          <w:rFonts w:eastAsia="Times New Roman"/>
        </w:rPr>
        <w:t xml:space="preserve">(1):8–13. </w:t>
      </w:r>
    </w:p>
    <w:p w:rsidR="00355749" w:rsidRDefault="00355749" w:rsidP="00355749">
      <w:pPr>
        <w:numPr>
          <w:ilvl w:val="0"/>
          <w:numId w:val="7"/>
        </w:numPr>
        <w:spacing w:before="100" w:beforeAutospacing="1" w:after="100" w:afterAutospacing="1" w:line="240" w:lineRule="auto"/>
        <w:rPr>
          <w:rFonts w:eastAsia="Times New Roman"/>
        </w:rPr>
      </w:pPr>
      <w:r>
        <w:rPr>
          <w:rFonts w:eastAsia="Times New Roman"/>
        </w:rPr>
        <w:t>Australian Government Department of Health. National Notifiable Diseases Surveillance System. [Internet.] Canberra: Australian Government, Department of Health, 2018. [Accessed 16 Apr 2018.] Available from: http://www9.health.gov.au/cda/source/cda-</w:t>
      </w:r>
      <w:proofErr w:type="gramStart"/>
      <w:r>
        <w:rPr>
          <w:rFonts w:eastAsia="Times New Roman"/>
        </w:rPr>
        <w:t>index.cfm .</w:t>
      </w:r>
      <w:proofErr w:type="gramEnd"/>
      <w:r>
        <w:rPr>
          <w:rFonts w:eastAsia="Times New Roman"/>
        </w:rPr>
        <w:t xml:space="preserve"> </w:t>
      </w:r>
    </w:p>
    <w:p w:rsidR="00355749" w:rsidRDefault="00355749" w:rsidP="00355749">
      <w:pPr>
        <w:numPr>
          <w:ilvl w:val="0"/>
          <w:numId w:val="7"/>
        </w:numPr>
        <w:spacing w:before="100" w:beforeAutospacing="1" w:after="100" w:afterAutospacing="1" w:line="240" w:lineRule="auto"/>
        <w:rPr>
          <w:rFonts w:eastAsia="Times New Roman"/>
        </w:rPr>
      </w:pPr>
      <w:proofErr w:type="spellStart"/>
      <w:r>
        <w:rPr>
          <w:rFonts w:eastAsia="Times New Roman"/>
        </w:rPr>
        <w:t>Unemo</w:t>
      </w:r>
      <w:proofErr w:type="spellEnd"/>
      <w:r>
        <w:rPr>
          <w:rFonts w:eastAsia="Times New Roman"/>
        </w:rPr>
        <w:t xml:space="preserve"> M, </w:t>
      </w:r>
      <w:proofErr w:type="spellStart"/>
      <w:r>
        <w:rPr>
          <w:rFonts w:eastAsia="Times New Roman"/>
        </w:rPr>
        <w:t>Fasth</w:t>
      </w:r>
      <w:proofErr w:type="spellEnd"/>
      <w:r>
        <w:rPr>
          <w:rFonts w:eastAsia="Times New Roman"/>
        </w:rPr>
        <w:t xml:space="preserve"> O, </w:t>
      </w:r>
      <w:proofErr w:type="spellStart"/>
      <w:r>
        <w:rPr>
          <w:rFonts w:eastAsia="Times New Roman"/>
        </w:rPr>
        <w:t>Fredlund</w:t>
      </w:r>
      <w:proofErr w:type="spellEnd"/>
      <w:r>
        <w:rPr>
          <w:rFonts w:eastAsia="Times New Roman"/>
        </w:rPr>
        <w:t xml:space="preserve"> H, </w:t>
      </w:r>
      <w:proofErr w:type="spellStart"/>
      <w:r>
        <w:rPr>
          <w:rFonts w:eastAsia="Times New Roman"/>
        </w:rPr>
        <w:t>Limnios</w:t>
      </w:r>
      <w:proofErr w:type="spellEnd"/>
      <w:r>
        <w:rPr>
          <w:rFonts w:eastAsia="Times New Roman"/>
        </w:rPr>
        <w:t xml:space="preserve"> A, </w:t>
      </w:r>
      <w:proofErr w:type="spellStart"/>
      <w:r>
        <w:rPr>
          <w:rFonts w:eastAsia="Times New Roman"/>
        </w:rPr>
        <w:t>Tapsall</w:t>
      </w:r>
      <w:proofErr w:type="spellEnd"/>
      <w:r>
        <w:rPr>
          <w:rFonts w:eastAsia="Times New Roman"/>
        </w:rPr>
        <w:t xml:space="preserve"> J. Phenotypic and genetic characterization of the 2008 WHO </w:t>
      </w:r>
      <w:r w:rsidRPr="00F458E5">
        <w:rPr>
          <w:rStyle w:val="Emphasis"/>
          <w:rFonts w:eastAsia="Times New Roman"/>
          <w:b w:val="0"/>
        </w:rPr>
        <w:t xml:space="preserve">Neisseria </w:t>
      </w:r>
      <w:proofErr w:type="spellStart"/>
      <w:r w:rsidRPr="00F458E5">
        <w:rPr>
          <w:rStyle w:val="Emphasis"/>
          <w:rFonts w:eastAsia="Times New Roman"/>
          <w:b w:val="0"/>
        </w:rPr>
        <w:t>gonorrhoeae</w:t>
      </w:r>
      <w:proofErr w:type="spellEnd"/>
      <w:r w:rsidRPr="00F458E5">
        <w:rPr>
          <w:rStyle w:val="Emphasis"/>
          <w:rFonts w:eastAsia="Times New Roman"/>
          <w:b w:val="0"/>
        </w:rPr>
        <w:t xml:space="preserve"> </w:t>
      </w:r>
      <w:r>
        <w:rPr>
          <w:rFonts w:eastAsia="Times New Roman"/>
        </w:rPr>
        <w:t xml:space="preserve">reference strain panel intended for global quality assurance and quality control of gonococcal antimicrobial resistance (AMR) surveillance for public health purposes. </w:t>
      </w:r>
      <w:r w:rsidRPr="00F458E5">
        <w:rPr>
          <w:rStyle w:val="Emphasis"/>
          <w:rFonts w:eastAsia="Times New Roman"/>
          <w:b w:val="0"/>
        </w:rPr>
        <w:t xml:space="preserve">J </w:t>
      </w:r>
      <w:proofErr w:type="spellStart"/>
      <w:r w:rsidRPr="00F458E5">
        <w:rPr>
          <w:rStyle w:val="Emphasis"/>
          <w:rFonts w:eastAsia="Times New Roman"/>
          <w:b w:val="0"/>
        </w:rPr>
        <w:t>Antimicrob</w:t>
      </w:r>
      <w:proofErr w:type="spellEnd"/>
      <w:r w:rsidRPr="00F458E5">
        <w:rPr>
          <w:rStyle w:val="Emphasis"/>
          <w:rFonts w:eastAsia="Times New Roman"/>
          <w:b w:val="0"/>
        </w:rPr>
        <w:t xml:space="preserve"> </w:t>
      </w:r>
      <w:proofErr w:type="spellStart"/>
      <w:r w:rsidRPr="00F458E5">
        <w:rPr>
          <w:rStyle w:val="Emphasis"/>
          <w:rFonts w:eastAsia="Times New Roman"/>
          <w:b w:val="0"/>
        </w:rPr>
        <w:t>Chemother</w:t>
      </w:r>
      <w:proofErr w:type="spellEnd"/>
      <w:r>
        <w:rPr>
          <w:rFonts w:eastAsia="Times New Roman"/>
        </w:rPr>
        <w:t>. 2009</w:t>
      </w:r>
      <w:proofErr w:type="gramStart"/>
      <w:r>
        <w:rPr>
          <w:rFonts w:eastAsia="Times New Roman"/>
        </w:rPr>
        <w:t>;63</w:t>
      </w:r>
      <w:proofErr w:type="gramEnd"/>
      <w:r>
        <w:rPr>
          <w:rFonts w:eastAsia="Times New Roman"/>
        </w:rPr>
        <w:t xml:space="preserve">(6):1142–51. </w:t>
      </w:r>
    </w:p>
    <w:p w:rsidR="00355749" w:rsidRDefault="00355749" w:rsidP="00355749">
      <w:pPr>
        <w:numPr>
          <w:ilvl w:val="0"/>
          <w:numId w:val="7"/>
        </w:numPr>
        <w:spacing w:before="100" w:beforeAutospacing="1" w:after="100" w:afterAutospacing="1" w:line="240" w:lineRule="auto"/>
        <w:rPr>
          <w:rFonts w:eastAsia="Times New Roman"/>
        </w:rPr>
      </w:pPr>
      <w:r>
        <w:rPr>
          <w:rFonts w:eastAsia="Times New Roman"/>
        </w:rPr>
        <w:t xml:space="preserve">Ohnishi M, </w:t>
      </w:r>
      <w:proofErr w:type="spellStart"/>
      <w:r>
        <w:rPr>
          <w:rFonts w:eastAsia="Times New Roman"/>
        </w:rPr>
        <w:t>Golparian</w:t>
      </w:r>
      <w:proofErr w:type="spellEnd"/>
      <w:r>
        <w:rPr>
          <w:rFonts w:eastAsia="Times New Roman"/>
        </w:rPr>
        <w:t xml:space="preserve"> D, </w:t>
      </w:r>
      <w:proofErr w:type="spellStart"/>
      <w:r>
        <w:rPr>
          <w:rFonts w:eastAsia="Times New Roman"/>
        </w:rPr>
        <w:t>Shimuta</w:t>
      </w:r>
      <w:proofErr w:type="spellEnd"/>
      <w:r>
        <w:rPr>
          <w:rFonts w:eastAsia="Times New Roman"/>
        </w:rPr>
        <w:t xml:space="preserve"> K, </w:t>
      </w:r>
      <w:proofErr w:type="spellStart"/>
      <w:r>
        <w:rPr>
          <w:rFonts w:eastAsia="Times New Roman"/>
        </w:rPr>
        <w:t>Saika</w:t>
      </w:r>
      <w:proofErr w:type="spellEnd"/>
      <w:r>
        <w:rPr>
          <w:rFonts w:eastAsia="Times New Roman"/>
        </w:rPr>
        <w:t xml:space="preserve"> T, </w:t>
      </w:r>
      <w:proofErr w:type="spellStart"/>
      <w:r>
        <w:rPr>
          <w:rFonts w:eastAsia="Times New Roman"/>
        </w:rPr>
        <w:t>Hoshina</w:t>
      </w:r>
      <w:proofErr w:type="spellEnd"/>
      <w:r>
        <w:rPr>
          <w:rFonts w:eastAsia="Times New Roman"/>
        </w:rPr>
        <w:t xml:space="preserve"> S, </w:t>
      </w:r>
      <w:proofErr w:type="spellStart"/>
      <w:r>
        <w:rPr>
          <w:rFonts w:eastAsia="Times New Roman"/>
        </w:rPr>
        <w:t>Iwasaku</w:t>
      </w:r>
      <w:proofErr w:type="spellEnd"/>
      <w:r>
        <w:rPr>
          <w:rFonts w:eastAsia="Times New Roman"/>
        </w:rPr>
        <w:t xml:space="preserve"> K et al. Is </w:t>
      </w:r>
      <w:r w:rsidRPr="00F458E5">
        <w:rPr>
          <w:rStyle w:val="Emphasis"/>
          <w:rFonts w:eastAsia="Times New Roman"/>
          <w:b w:val="0"/>
        </w:rPr>
        <w:t xml:space="preserve">Neisseria </w:t>
      </w:r>
      <w:proofErr w:type="spellStart"/>
      <w:r w:rsidRPr="00F458E5">
        <w:rPr>
          <w:rStyle w:val="Emphasis"/>
          <w:rFonts w:eastAsia="Times New Roman"/>
          <w:b w:val="0"/>
        </w:rPr>
        <w:t>gonorrhoeae</w:t>
      </w:r>
      <w:proofErr w:type="spellEnd"/>
      <w:r w:rsidRPr="00F458E5">
        <w:rPr>
          <w:rStyle w:val="Emphasis"/>
          <w:rFonts w:eastAsia="Times New Roman"/>
          <w:b w:val="0"/>
        </w:rPr>
        <w:t xml:space="preserve"> </w:t>
      </w:r>
      <w:r>
        <w:rPr>
          <w:rFonts w:eastAsia="Times New Roman"/>
        </w:rPr>
        <w:t xml:space="preserve">initiating a future era of untreatable </w:t>
      </w:r>
      <w:proofErr w:type="spellStart"/>
      <w:r>
        <w:rPr>
          <w:rFonts w:eastAsia="Times New Roman"/>
        </w:rPr>
        <w:t>gonorrhea</w:t>
      </w:r>
      <w:proofErr w:type="spellEnd"/>
      <w:proofErr w:type="gramStart"/>
      <w:r>
        <w:rPr>
          <w:rFonts w:eastAsia="Times New Roman"/>
        </w:rPr>
        <w:t>?:</w:t>
      </w:r>
      <w:proofErr w:type="gramEnd"/>
      <w:r>
        <w:rPr>
          <w:rFonts w:eastAsia="Times New Roman"/>
        </w:rPr>
        <w:t xml:space="preserve"> Detailed characterization of the first strain with high-level resistance to ceftriaxone. </w:t>
      </w:r>
      <w:proofErr w:type="spellStart"/>
      <w:r w:rsidRPr="00F458E5">
        <w:rPr>
          <w:rStyle w:val="Emphasis"/>
          <w:rFonts w:eastAsia="Times New Roman"/>
          <w:b w:val="0"/>
        </w:rPr>
        <w:t>Antimicrob</w:t>
      </w:r>
      <w:proofErr w:type="spellEnd"/>
      <w:r w:rsidRPr="00F458E5">
        <w:rPr>
          <w:rStyle w:val="Emphasis"/>
          <w:rFonts w:eastAsia="Times New Roman"/>
          <w:b w:val="0"/>
        </w:rPr>
        <w:t xml:space="preserve"> Agents </w:t>
      </w:r>
      <w:proofErr w:type="spellStart"/>
      <w:r w:rsidRPr="00F458E5">
        <w:rPr>
          <w:rStyle w:val="Emphasis"/>
          <w:rFonts w:eastAsia="Times New Roman"/>
          <w:b w:val="0"/>
        </w:rPr>
        <w:t>Chemother</w:t>
      </w:r>
      <w:proofErr w:type="spellEnd"/>
      <w:r>
        <w:rPr>
          <w:rFonts w:eastAsia="Times New Roman"/>
        </w:rPr>
        <w:t>. 2011</w:t>
      </w:r>
      <w:proofErr w:type="gramStart"/>
      <w:r>
        <w:rPr>
          <w:rFonts w:eastAsia="Times New Roman"/>
        </w:rPr>
        <w:t>;55</w:t>
      </w:r>
      <w:proofErr w:type="gramEnd"/>
      <w:r>
        <w:rPr>
          <w:rFonts w:eastAsia="Times New Roman"/>
        </w:rPr>
        <w:t xml:space="preserve">(7):3538–45. </w:t>
      </w:r>
    </w:p>
    <w:p w:rsidR="00355749" w:rsidRDefault="00355749" w:rsidP="00355749">
      <w:pPr>
        <w:numPr>
          <w:ilvl w:val="0"/>
          <w:numId w:val="7"/>
        </w:numPr>
        <w:spacing w:before="100" w:beforeAutospacing="1" w:after="100" w:afterAutospacing="1" w:line="240" w:lineRule="auto"/>
        <w:rPr>
          <w:rFonts w:eastAsia="Times New Roman"/>
        </w:rPr>
      </w:pPr>
      <w:proofErr w:type="spellStart"/>
      <w:r>
        <w:rPr>
          <w:rFonts w:eastAsia="Times New Roman"/>
        </w:rPr>
        <w:t>Unemo</w:t>
      </w:r>
      <w:proofErr w:type="spellEnd"/>
      <w:r>
        <w:rPr>
          <w:rFonts w:eastAsia="Times New Roman"/>
        </w:rPr>
        <w:t xml:space="preserve"> M, </w:t>
      </w:r>
      <w:proofErr w:type="spellStart"/>
      <w:r>
        <w:rPr>
          <w:rFonts w:eastAsia="Times New Roman"/>
        </w:rPr>
        <w:t>Golparian</w:t>
      </w:r>
      <w:proofErr w:type="spellEnd"/>
      <w:r>
        <w:rPr>
          <w:rFonts w:eastAsia="Times New Roman"/>
        </w:rPr>
        <w:t xml:space="preserve"> D, Nicholas R, Ohnishi M, </w:t>
      </w:r>
      <w:proofErr w:type="spellStart"/>
      <w:r>
        <w:rPr>
          <w:rFonts w:eastAsia="Times New Roman"/>
        </w:rPr>
        <w:t>Gallay</w:t>
      </w:r>
      <w:proofErr w:type="spellEnd"/>
      <w:r>
        <w:rPr>
          <w:rFonts w:eastAsia="Times New Roman"/>
        </w:rPr>
        <w:t xml:space="preserve"> A, </w:t>
      </w:r>
      <w:proofErr w:type="spellStart"/>
      <w:proofErr w:type="gramStart"/>
      <w:r>
        <w:rPr>
          <w:rFonts w:eastAsia="Times New Roman"/>
        </w:rPr>
        <w:t>Sednaoui</w:t>
      </w:r>
      <w:proofErr w:type="spellEnd"/>
      <w:proofErr w:type="gramEnd"/>
      <w:r>
        <w:rPr>
          <w:rFonts w:eastAsia="Times New Roman"/>
        </w:rPr>
        <w:t xml:space="preserve"> P. High-level </w:t>
      </w:r>
      <w:proofErr w:type="spellStart"/>
      <w:r>
        <w:rPr>
          <w:rFonts w:eastAsia="Times New Roman"/>
        </w:rPr>
        <w:t>cefixime</w:t>
      </w:r>
      <w:proofErr w:type="spellEnd"/>
      <w:r>
        <w:rPr>
          <w:rFonts w:eastAsia="Times New Roman"/>
        </w:rPr>
        <w:t xml:space="preserve">- and ceftriaxone-resistant </w:t>
      </w:r>
      <w:r w:rsidRPr="00F458E5">
        <w:rPr>
          <w:rStyle w:val="Emphasis"/>
          <w:rFonts w:eastAsia="Times New Roman"/>
          <w:b w:val="0"/>
        </w:rPr>
        <w:t xml:space="preserve">Neisseria </w:t>
      </w:r>
      <w:proofErr w:type="spellStart"/>
      <w:r w:rsidRPr="00F458E5">
        <w:rPr>
          <w:rStyle w:val="Emphasis"/>
          <w:rFonts w:eastAsia="Times New Roman"/>
          <w:b w:val="0"/>
        </w:rPr>
        <w:t>gonorrhoeae</w:t>
      </w:r>
      <w:proofErr w:type="spellEnd"/>
      <w:r w:rsidRPr="00F458E5">
        <w:rPr>
          <w:rStyle w:val="Emphasis"/>
          <w:rFonts w:eastAsia="Times New Roman"/>
          <w:b w:val="0"/>
        </w:rPr>
        <w:t xml:space="preserve"> </w:t>
      </w:r>
      <w:r>
        <w:rPr>
          <w:rFonts w:eastAsia="Times New Roman"/>
        </w:rPr>
        <w:t xml:space="preserve">in France: Novel </w:t>
      </w:r>
      <w:proofErr w:type="spellStart"/>
      <w:r>
        <w:rPr>
          <w:rFonts w:eastAsia="Times New Roman"/>
        </w:rPr>
        <w:t>penA</w:t>
      </w:r>
      <w:proofErr w:type="spellEnd"/>
      <w:r>
        <w:rPr>
          <w:rFonts w:eastAsia="Times New Roman"/>
        </w:rPr>
        <w:t xml:space="preserve"> mosaic allele in a successful international clone causes treatment failure. </w:t>
      </w:r>
      <w:proofErr w:type="spellStart"/>
      <w:r w:rsidRPr="00F458E5">
        <w:rPr>
          <w:rStyle w:val="Emphasis"/>
          <w:rFonts w:eastAsia="Times New Roman"/>
          <w:b w:val="0"/>
        </w:rPr>
        <w:t>Antimicrob</w:t>
      </w:r>
      <w:proofErr w:type="spellEnd"/>
      <w:r w:rsidRPr="00F458E5">
        <w:rPr>
          <w:rStyle w:val="Emphasis"/>
          <w:rFonts w:eastAsia="Times New Roman"/>
          <w:b w:val="0"/>
        </w:rPr>
        <w:t xml:space="preserve"> Agents </w:t>
      </w:r>
      <w:proofErr w:type="spellStart"/>
      <w:r w:rsidRPr="00F458E5">
        <w:rPr>
          <w:rStyle w:val="Emphasis"/>
          <w:rFonts w:eastAsia="Times New Roman"/>
          <w:b w:val="0"/>
        </w:rPr>
        <w:t>Chemother</w:t>
      </w:r>
      <w:proofErr w:type="spellEnd"/>
      <w:r>
        <w:rPr>
          <w:rFonts w:eastAsia="Times New Roman"/>
        </w:rPr>
        <w:t>. 2012</w:t>
      </w:r>
      <w:proofErr w:type="gramStart"/>
      <w:r>
        <w:rPr>
          <w:rFonts w:eastAsia="Times New Roman"/>
        </w:rPr>
        <w:t>;56</w:t>
      </w:r>
      <w:proofErr w:type="gramEnd"/>
      <w:r>
        <w:rPr>
          <w:rFonts w:eastAsia="Times New Roman"/>
        </w:rPr>
        <w:t xml:space="preserve">(3):1273–80. </w:t>
      </w:r>
    </w:p>
    <w:p w:rsidR="00355749" w:rsidRDefault="00355749" w:rsidP="00355749">
      <w:pPr>
        <w:numPr>
          <w:ilvl w:val="0"/>
          <w:numId w:val="7"/>
        </w:numPr>
        <w:spacing w:before="100" w:beforeAutospacing="1" w:after="100" w:afterAutospacing="1" w:line="240" w:lineRule="auto"/>
        <w:rPr>
          <w:rFonts w:eastAsia="Times New Roman"/>
        </w:rPr>
      </w:pPr>
      <w:proofErr w:type="spellStart"/>
      <w:r>
        <w:rPr>
          <w:rFonts w:eastAsia="Times New Roman"/>
        </w:rPr>
        <w:t>Cámara</w:t>
      </w:r>
      <w:proofErr w:type="spellEnd"/>
      <w:r>
        <w:rPr>
          <w:rFonts w:eastAsia="Times New Roman"/>
        </w:rPr>
        <w:t xml:space="preserve"> J, Serra J, </w:t>
      </w:r>
      <w:proofErr w:type="spellStart"/>
      <w:r>
        <w:rPr>
          <w:rFonts w:eastAsia="Times New Roman"/>
        </w:rPr>
        <w:t>Ayats</w:t>
      </w:r>
      <w:proofErr w:type="spellEnd"/>
      <w:r>
        <w:rPr>
          <w:rFonts w:eastAsia="Times New Roman"/>
        </w:rPr>
        <w:t xml:space="preserve"> J, </w:t>
      </w:r>
      <w:proofErr w:type="spellStart"/>
      <w:r>
        <w:rPr>
          <w:rFonts w:eastAsia="Times New Roman"/>
        </w:rPr>
        <w:t>Bastida</w:t>
      </w:r>
      <w:proofErr w:type="spellEnd"/>
      <w:r>
        <w:rPr>
          <w:rFonts w:eastAsia="Times New Roman"/>
        </w:rPr>
        <w:t xml:space="preserve"> T, </w:t>
      </w:r>
      <w:proofErr w:type="spellStart"/>
      <w:r>
        <w:rPr>
          <w:rFonts w:eastAsia="Times New Roman"/>
        </w:rPr>
        <w:t>Carnicer</w:t>
      </w:r>
      <w:proofErr w:type="spellEnd"/>
      <w:r>
        <w:rPr>
          <w:rFonts w:eastAsia="Times New Roman"/>
        </w:rPr>
        <w:t xml:space="preserve">-Pont D, Andreu A et al. Molecular characterization of two high-level ceftriaxone-resistant </w:t>
      </w:r>
      <w:r w:rsidRPr="00F458E5">
        <w:rPr>
          <w:rStyle w:val="Emphasis"/>
          <w:rFonts w:eastAsia="Times New Roman"/>
          <w:b w:val="0"/>
        </w:rPr>
        <w:t xml:space="preserve">Neisseria </w:t>
      </w:r>
      <w:proofErr w:type="spellStart"/>
      <w:r w:rsidRPr="00F458E5">
        <w:rPr>
          <w:rStyle w:val="Emphasis"/>
          <w:rFonts w:eastAsia="Times New Roman"/>
          <w:b w:val="0"/>
        </w:rPr>
        <w:t>gonorrhoeae</w:t>
      </w:r>
      <w:proofErr w:type="spellEnd"/>
      <w:r w:rsidRPr="00F458E5">
        <w:rPr>
          <w:rStyle w:val="Emphasis"/>
          <w:rFonts w:eastAsia="Times New Roman"/>
          <w:b w:val="0"/>
        </w:rPr>
        <w:t xml:space="preserve"> </w:t>
      </w:r>
      <w:r>
        <w:rPr>
          <w:rFonts w:eastAsia="Times New Roman"/>
        </w:rPr>
        <w:t xml:space="preserve">isolates detected in Catalonia, Spain. </w:t>
      </w:r>
      <w:r w:rsidRPr="00F458E5">
        <w:rPr>
          <w:rStyle w:val="Emphasis"/>
          <w:rFonts w:eastAsia="Times New Roman"/>
          <w:b w:val="0"/>
        </w:rPr>
        <w:t xml:space="preserve">J </w:t>
      </w:r>
      <w:proofErr w:type="spellStart"/>
      <w:r w:rsidRPr="00F458E5">
        <w:rPr>
          <w:rStyle w:val="Emphasis"/>
          <w:rFonts w:eastAsia="Times New Roman"/>
          <w:b w:val="0"/>
        </w:rPr>
        <w:t>Antimicrob</w:t>
      </w:r>
      <w:proofErr w:type="spellEnd"/>
      <w:r w:rsidRPr="00F458E5">
        <w:rPr>
          <w:rStyle w:val="Emphasis"/>
          <w:rFonts w:eastAsia="Times New Roman"/>
          <w:b w:val="0"/>
        </w:rPr>
        <w:t xml:space="preserve"> </w:t>
      </w:r>
      <w:proofErr w:type="spellStart"/>
      <w:r w:rsidRPr="00F458E5">
        <w:rPr>
          <w:rStyle w:val="Emphasis"/>
          <w:rFonts w:eastAsia="Times New Roman"/>
          <w:b w:val="0"/>
        </w:rPr>
        <w:t>Chemother</w:t>
      </w:r>
      <w:proofErr w:type="spellEnd"/>
      <w:r>
        <w:rPr>
          <w:rFonts w:eastAsia="Times New Roman"/>
        </w:rPr>
        <w:t>. 2012</w:t>
      </w:r>
      <w:proofErr w:type="gramStart"/>
      <w:r>
        <w:rPr>
          <w:rFonts w:eastAsia="Times New Roman"/>
        </w:rPr>
        <w:t>;67:1858</w:t>
      </w:r>
      <w:proofErr w:type="gramEnd"/>
      <w:r>
        <w:rPr>
          <w:rFonts w:eastAsia="Times New Roman"/>
        </w:rPr>
        <w:t xml:space="preserve">–60. </w:t>
      </w:r>
    </w:p>
    <w:p w:rsidR="00355749" w:rsidRDefault="00355749" w:rsidP="00355749">
      <w:pPr>
        <w:numPr>
          <w:ilvl w:val="0"/>
          <w:numId w:val="7"/>
        </w:numPr>
        <w:spacing w:before="100" w:beforeAutospacing="1" w:after="100" w:afterAutospacing="1" w:line="240" w:lineRule="auto"/>
        <w:rPr>
          <w:rFonts w:eastAsia="Times New Roman"/>
        </w:rPr>
      </w:pPr>
      <w:r>
        <w:rPr>
          <w:rFonts w:eastAsia="Times New Roman"/>
        </w:rPr>
        <w:t xml:space="preserve">Lahra MM, Ryder N, </w:t>
      </w:r>
      <w:proofErr w:type="spellStart"/>
      <w:r>
        <w:rPr>
          <w:rFonts w:eastAsia="Times New Roman"/>
        </w:rPr>
        <w:t>Whiley</w:t>
      </w:r>
      <w:proofErr w:type="spellEnd"/>
      <w:r>
        <w:rPr>
          <w:rFonts w:eastAsia="Times New Roman"/>
        </w:rPr>
        <w:t xml:space="preserve"> DM. A new multidrug-resistant strain of </w:t>
      </w:r>
      <w:r w:rsidRPr="00F458E5">
        <w:rPr>
          <w:rStyle w:val="Emphasis"/>
          <w:rFonts w:eastAsia="Times New Roman"/>
          <w:b w:val="0"/>
        </w:rPr>
        <w:t xml:space="preserve">Neisseria </w:t>
      </w:r>
      <w:proofErr w:type="spellStart"/>
      <w:r w:rsidRPr="00F458E5">
        <w:rPr>
          <w:rStyle w:val="Emphasis"/>
          <w:rFonts w:eastAsia="Times New Roman"/>
          <w:b w:val="0"/>
        </w:rPr>
        <w:t>gonorrhoeae</w:t>
      </w:r>
      <w:proofErr w:type="spellEnd"/>
      <w:r>
        <w:rPr>
          <w:rFonts w:eastAsia="Times New Roman"/>
        </w:rPr>
        <w:t xml:space="preserve"> in Australia. </w:t>
      </w:r>
      <w:r w:rsidRPr="00F458E5">
        <w:rPr>
          <w:rStyle w:val="Emphasis"/>
          <w:rFonts w:eastAsia="Times New Roman"/>
          <w:b w:val="0"/>
        </w:rPr>
        <w:t xml:space="preserve">N </w:t>
      </w:r>
      <w:proofErr w:type="spellStart"/>
      <w:r w:rsidRPr="00F458E5">
        <w:rPr>
          <w:rStyle w:val="Emphasis"/>
          <w:rFonts w:eastAsia="Times New Roman"/>
          <w:b w:val="0"/>
        </w:rPr>
        <w:t>Engl</w:t>
      </w:r>
      <w:proofErr w:type="spellEnd"/>
      <w:r w:rsidRPr="00F458E5">
        <w:rPr>
          <w:rStyle w:val="Emphasis"/>
          <w:rFonts w:eastAsia="Times New Roman"/>
          <w:b w:val="0"/>
        </w:rPr>
        <w:t xml:space="preserve"> J Med</w:t>
      </w:r>
      <w:r>
        <w:rPr>
          <w:rFonts w:eastAsia="Times New Roman"/>
        </w:rPr>
        <w:t>. 2014</w:t>
      </w:r>
      <w:proofErr w:type="gramStart"/>
      <w:r>
        <w:rPr>
          <w:rFonts w:eastAsia="Times New Roman"/>
        </w:rPr>
        <w:t>;371</w:t>
      </w:r>
      <w:proofErr w:type="gramEnd"/>
      <w:r>
        <w:rPr>
          <w:rFonts w:eastAsia="Times New Roman"/>
        </w:rPr>
        <w:t xml:space="preserve">(19):1850–1. </w:t>
      </w:r>
    </w:p>
    <w:p w:rsidR="00355749" w:rsidRDefault="00355749" w:rsidP="00355749">
      <w:pPr>
        <w:numPr>
          <w:ilvl w:val="0"/>
          <w:numId w:val="7"/>
        </w:numPr>
        <w:spacing w:before="100" w:beforeAutospacing="1" w:after="100" w:afterAutospacing="1" w:line="240" w:lineRule="auto"/>
        <w:rPr>
          <w:rFonts w:eastAsia="Times New Roman"/>
        </w:rPr>
      </w:pPr>
      <w:r>
        <w:rPr>
          <w:rFonts w:eastAsia="Times New Roman"/>
        </w:rPr>
        <w:t xml:space="preserve">European Centre for Disease Prevention and Control. Rapid Risk Assessment: Extensively drug-resistant (XDR) </w:t>
      </w:r>
      <w:r w:rsidRPr="00F458E5">
        <w:rPr>
          <w:rStyle w:val="Emphasis"/>
          <w:rFonts w:eastAsia="Times New Roman"/>
          <w:b w:val="0"/>
        </w:rPr>
        <w:t xml:space="preserve">Neisseria </w:t>
      </w:r>
      <w:proofErr w:type="spellStart"/>
      <w:r w:rsidRPr="00F458E5">
        <w:rPr>
          <w:rStyle w:val="Emphasis"/>
          <w:rFonts w:eastAsia="Times New Roman"/>
          <w:b w:val="0"/>
        </w:rPr>
        <w:t>gonorrhoeae</w:t>
      </w:r>
      <w:proofErr w:type="spellEnd"/>
      <w:r>
        <w:rPr>
          <w:rFonts w:eastAsia="Times New Roman"/>
        </w:rPr>
        <w:t xml:space="preserve"> in the United Kingdom and Australia – 7 May 2018. [Internet.] Stockholm: ECDC, 2018. </w:t>
      </w:r>
    </w:p>
    <w:p w:rsidR="00355749" w:rsidRDefault="00355749" w:rsidP="00355749">
      <w:pPr>
        <w:numPr>
          <w:ilvl w:val="0"/>
          <w:numId w:val="7"/>
        </w:numPr>
        <w:spacing w:before="100" w:beforeAutospacing="1" w:after="100" w:afterAutospacing="1" w:line="240" w:lineRule="auto"/>
        <w:rPr>
          <w:rFonts w:eastAsia="Times New Roman"/>
        </w:rPr>
      </w:pPr>
      <w:r>
        <w:rPr>
          <w:rFonts w:eastAsia="Times New Roman"/>
        </w:rPr>
        <w:t xml:space="preserve">Jennison AV, </w:t>
      </w:r>
      <w:proofErr w:type="spellStart"/>
      <w:r>
        <w:rPr>
          <w:rFonts w:eastAsia="Times New Roman"/>
        </w:rPr>
        <w:t>Whiley</w:t>
      </w:r>
      <w:proofErr w:type="spellEnd"/>
      <w:r>
        <w:rPr>
          <w:rFonts w:eastAsia="Times New Roman"/>
        </w:rPr>
        <w:t xml:space="preserve"> D, Lahra MM, Graham RM, Cole MJ, Hughes G et al. Genetic relatedness of ceftriaxone-resistant and high-level azithromycin resistant </w:t>
      </w:r>
      <w:r w:rsidRPr="00F458E5">
        <w:rPr>
          <w:rStyle w:val="Emphasis"/>
          <w:rFonts w:eastAsia="Times New Roman"/>
          <w:b w:val="0"/>
        </w:rPr>
        <w:t xml:space="preserve">Neisseria </w:t>
      </w:r>
      <w:proofErr w:type="spellStart"/>
      <w:r w:rsidRPr="00F458E5">
        <w:rPr>
          <w:rStyle w:val="Emphasis"/>
          <w:rFonts w:eastAsia="Times New Roman"/>
          <w:b w:val="0"/>
        </w:rPr>
        <w:t>gonorrhoeae</w:t>
      </w:r>
      <w:proofErr w:type="spellEnd"/>
      <w:r>
        <w:rPr>
          <w:rFonts w:eastAsia="Times New Roman"/>
        </w:rPr>
        <w:t xml:space="preserve"> cases, United Kingdom and </w:t>
      </w:r>
      <w:r>
        <w:rPr>
          <w:rFonts w:eastAsia="Times New Roman"/>
        </w:rPr>
        <w:lastRenderedPageBreak/>
        <w:t xml:space="preserve">Australia, February to April 2018. Euro </w:t>
      </w:r>
      <w:proofErr w:type="spellStart"/>
      <w:r>
        <w:rPr>
          <w:rFonts w:eastAsia="Times New Roman"/>
        </w:rPr>
        <w:t>Surveill</w:t>
      </w:r>
      <w:proofErr w:type="spellEnd"/>
      <w:r>
        <w:rPr>
          <w:rFonts w:eastAsia="Times New Roman"/>
        </w:rPr>
        <w:t>. 2019</w:t>
      </w:r>
      <w:proofErr w:type="gramStart"/>
      <w:r>
        <w:rPr>
          <w:rFonts w:eastAsia="Times New Roman"/>
        </w:rPr>
        <w:t>;24</w:t>
      </w:r>
      <w:proofErr w:type="gramEnd"/>
      <w:r>
        <w:rPr>
          <w:rFonts w:eastAsia="Times New Roman"/>
        </w:rPr>
        <w:t xml:space="preserve">(8): https://doi.org/10.2807/1560-7917.ES.2019.24.8.1900118. </w:t>
      </w:r>
    </w:p>
    <w:p w:rsidR="00355749" w:rsidRDefault="00355749" w:rsidP="00355749">
      <w:pPr>
        <w:numPr>
          <w:ilvl w:val="0"/>
          <w:numId w:val="7"/>
        </w:numPr>
        <w:spacing w:before="100" w:beforeAutospacing="1" w:after="100" w:afterAutospacing="1" w:line="240" w:lineRule="auto"/>
        <w:rPr>
          <w:rFonts w:eastAsia="Times New Roman"/>
        </w:rPr>
      </w:pPr>
      <w:r>
        <w:rPr>
          <w:rFonts w:eastAsia="Times New Roman"/>
        </w:rPr>
        <w:t xml:space="preserve">Stevens K, </w:t>
      </w:r>
      <w:proofErr w:type="spellStart"/>
      <w:r>
        <w:rPr>
          <w:rFonts w:eastAsia="Times New Roman"/>
        </w:rPr>
        <w:t>Zaia</w:t>
      </w:r>
      <w:proofErr w:type="spellEnd"/>
      <w:r>
        <w:rPr>
          <w:rFonts w:eastAsia="Times New Roman"/>
        </w:rPr>
        <w:t xml:space="preserve"> A, </w:t>
      </w:r>
      <w:proofErr w:type="spellStart"/>
      <w:r>
        <w:rPr>
          <w:rFonts w:eastAsia="Times New Roman"/>
        </w:rPr>
        <w:t>Tawil</w:t>
      </w:r>
      <w:proofErr w:type="spellEnd"/>
      <w:r>
        <w:rPr>
          <w:rFonts w:eastAsia="Times New Roman"/>
        </w:rPr>
        <w:t xml:space="preserve"> S, Bates J, Hicks V, </w:t>
      </w:r>
      <w:proofErr w:type="spellStart"/>
      <w:r>
        <w:rPr>
          <w:rFonts w:eastAsia="Times New Roman"/>
        </w:rPr>
        <w:t>Whiley</w:t>
      </w:r>
      <w:proofErr w:type="spellEnd"/>
      <w:r>
        <w:rPr>
          <w:rFonts w:eastAsia="Times New Roman"/>
        </w:rPr>
        <w:t xml:space="preserve"> D et al. </w:t>
      </w:r>
      <w:r w:rsidRPr="00F458E5">
        <w:rPr>
          <w:rStyle w:val="Emphasis"/>
          <w:rFonts w:eastAsia="Times New Roman"/>
          <w:b w:val="0"/>
        </w:rPr>
        <w:t xml:space="preserve">Neisseria </w:t>
      </w:r>
      <w:proofErr w:type="spellStart"/>
      <w:r w:rsidRPr="00F458E5">
        <w:rPr>
          <w:rStyle w:val="Emphasis"/>
          <w:rFonts w:eastAsia="Times New Roman"/>
          <w:b w:val="0"/>
        </w:rPr>
        <w:t>gonorrhoeae</w:t>
      </w:r>
      <w:proofErr w:type="spellEnd"/>
      <w:r>
        <w:rPr>
          <w:rFonts w:eastAsia="Times New Roman"/>
        </w:rPr>
        <w:t xml:space="preserve"> isolates with high-level resistance to azithromycin in Australia. </w:t>
      </w:r>
      <w:r w:rsidRPr="00F458E5">
        <w:rPr>
          <w:rStyle w:val="Emphasis"/>
          <w:rFonts w:eastAsia="Times New Roman"/>
          <w:b w:val="0"/>
        </w:rPr>
        <w:t xml:space="preserve">J </w:t>
      </w:r>
      <w:proofErr w:type="spellStart"/>
      <w:r w:rsidRPr="00F458E5">
        <w:rPr>
          <w:rStyle w:val="Emphasis"/>
          <w:rFonts w:eastAsia="Times New Roman"/>
          <w:b w:val="0"/>
        </w:rPr>
        <w:t>Antimicrob</w:t>
      </w:r>
      <w:proofErr w:type="spellEnd"/>
      <w:r w:rsidRPr="00F458E5">
        <w:rPr>
          <w:rStyle w:val="Emphasis"/>
          <w:rFonts w:eastAsia="Times New Roman"/>
          <w:b w:val="0"/>
        </w:rPr>
        <w:t xml:space="preserve"> </w:t>
      </w:r>
      <w:proofErr w:type="spellStart"/>
      <w:r w:rsidRPr="00F458E5">
        <w:rPr>
          <w:rStyle w:val="Emphasis"/>
          <w:rFonts w:eastAsia="Times New Roman"/>
          <w:b w:val="0"/>
        </w:rPr>
        <w:t>Chemother</w:t>
      </w:r>
      <w:proofErr w:type="spellEnd"/>
      <w:r>
        <w:rPr>
          <w:rFonts w:eastAsia="Times New Roman"/>
        </w:rPr>
        <w:t>. 2015</w:t>
      </w:r>
      <w:proofErr w:type="gramStart"/>
      <w:r>
        <w:rPr>
          <w:rFonts w:eastAsia="Times New Roman"/>
        </w:rPr>
        <w:t>;70</w:t>
      </w:r>
      <w:proofErr w:type="gramEnd"/>
      <w:r>
        <w:rPr>
          <w:rFonts w:eastAsia="Times New Roman"/>
        </w:rPr>
        <w:t xml:space="preserve">(4):1267–8. </w:t>
      </w:r>
    </w:p>
    <w:p w:rsidR="00355749" w:rsidRDefault="00355749" w:rsidP="00355749">
      <w:pPr>
        <w:numPr>
          <w:ilvl w:val="0"/>
          <w:numId w:val="7"/>
        </w:numPr>
        <w:spacing w:before="100" w:beforeAutospacing="1" w:after="100" w:afterAutospacing="1" w:line="240" w:lineRule="auto"/>
        <w:rPr>
          <w:rFonts w:eastAsia="Times New Roman"/>
        </w:rPr>
      </w:pPr>
      <w:proofErr w:type="spellStart"/>
      <w:r>
        <w:rPr>
          <w:rFonts w:eastAsia="Times New Roman"/>
        </w:rPr>
        <w:t>Whiley</w:t>
      </w:r>
      <w:proofErr w:type="spellEnd"/>
      <w:r>
        <w:rPr>
          <w:rFonts w:eastAsia="Times New Roman"/>
        </w:rPr>
        <w:t xml:space="preserve"> DM, Lahra MM, </w:t>
      </w:r>
      <w:proofErr w:type="spellStart"/>
      <w:r>
        <w:rPr>
          <w:rFonts w:eastAsia="Times New Roman"/>
        </w:rPr>
        <w:t>Unemo</w:t>
      </w:r>
      <w:proofErr w:type="spellEnd"/>
      <w:r>
        <w:rPr>
          <w:rFonts w:eastAsia="Times New Roman"/>
        </w:rPr>
        <w:t xml:space="preserve"> M. Prospects of untreatable </w:t>
      </w:r>
      <w:proofErr w:type="spellStart"/>
      <w:r>
        <w:rPr>
          <w:rFonts w:eastAsia="Times New Roman"/>
        </w:rPr>
        <w:t>gonorrhea</w:t>
      </w:r>
      <w:proofErr w:type="spellEnd"/>
      <w:r>
        <w:rPr>
          <w:rFonts w:eastAsia="Times New Roman"/>
        </w:rPr>
        <w:t xml:space="preserve"> and ways forward. </w:t>
      </w:r>
      <w:r w:rsidRPr="00F458E5">
        <w:rPr>
          <w:rStyle w:val="Emphasis"/>
          <w:rFonts w:eastAsia="Times New Roman"/>
          <w:b w:val="0"/>
        </w:rPr>
        <w:t xml:space="preserve">Future </w:t>
      </w:r>
      <w:proofErr w:type="spellStart"/>
      <w:r w:rsidRPr="00F458E5">
        <w:rPr>
          <w:rStyle w:val="Emphasis"/>
          <w:rFonts w:eastAsia="Times New Roman"/>
          <w:b w:val="0"/>
        </w:rPr>
        <w:t>Microbiol</w:t>
      </w:r>
      <w:proofErr w:type="spellEnd"/>
      <w:r>
        <w:rPr>
          <w:rFonts w:eastAsia="Times New Roman"/>
        </w:rPr>
        <w:t>. 2015</w:t>
      </w:r>
      <w:proofErr w:type="gramStart"/>
      <w:r>
        <w:rPr>
          <w:rFonts w:eastAsia="Times New Roman"/>
        </w:rPr>
        <w:t>;10</w:t>
      </w:r>
      <w:proofErr w:type="gramEnd"/>
      <w:r>
        <w:rPr>
          <w:rFonts w:eastAsia="Times New Roman"/>
        </w:rPr>
        <w:t xml:space="preserve">(3):313–6. </w:t>
      </w:r>
    </w:p>
    <w:p w:rsidR="00355749" w:rsidRDefault="00355749" w:rsidP="00355749">
      <w:pPr>
        <w:numPr>
          <w:ilvl w:val="0"/>
          <w:numId w:val="7"/>
        </w:numPr>
        <w:spacing w:before="100" w:beforeAutospacing="1" w:after="100" w:afterAutospacing="1" w:line="240" w:lineRule="auto"/>
        <w:rPr>
          <w:rFonts w:eastAsia="Times New Roman"/>
        </w:rPr>
      </w:pPr>
      <w:r>
        <w:rPr>
          <w:rFonts w:eastAsia="Times New Roman"/>
        </w:rPr>
        <w:t xml:space="preserve">Lahra MM, Enriquez RP. Australian Gonococcal Surveillance Programme, 1 July to 30 September 2016. </w:t>
      </w:r>
      <w:proofErr w:type="spellStart"/>
      <w:r w:rsidRPr="00F458E5">
        <w:rPr>
          <w:rStyle w:val="Emphasis"/>
          <w:rFonts w:eastAsia="Times New Roman"/>
          <w:b w:val="0"/>
        </w:rPr>
        <w:t>Commun</w:t>
      </w:r>
      <w:proofErr w:type="spellEnd"/>
      <w:r w:rsidRPr="00F458E5">
        <w:rPr>
          <w:rStyle w:val="Emphasis"/>
          <w:rFonts w:eastAsia="Times New Roman"/>
          <w:b w:val="0"/>
        </w:rPr>
        <w:t xml:space="preserve"> Dis </w:t>
      </w:r>
      <w:proofErr w:type="spellStart"/>
      <w:r w:rsidRPr="00F458E5">
        <w:rPr>
          <w:rStyle w:val="Emphasis"/>
          <w:rFonts w:eastAsia="Times New Roman"/>
          <w:b w:val="0"/>
        </w:rPr>
        <w:t>Intell</w:t>
      </w:r>
      <w:proofErr w:type="spellEnd"/>
      <w:r w:rsidRPr="00F458E5">
        <w:rPr>
          <w:rStyle w:val="Emphasis"/>
          <w:rFonts w:eastAsia="Times New Roman"/>
          <w:b w:val="0"/>
        </w:rPr>
        <w:t xml:space="preserve"> Q Rep</w:t>
      </w:r>
      <w:r>
        <w:rPr>
          <w:rFonts w:eastAsia="Times New Roman"/>
        </w:rPr>
        <w:t>. 2017</w:t>
      </w:r>
      <w:proofErr w:type="gramStart"/>
      <w:r>
        <w:rPr>
          <w:rFonts w:eastAsia="Times New Roman"/>
        </w:rPr>
        <w:t>;41</w:t>
      </w:r>
      <w:proofErr w:type="gramEnd"/>
      <w:r>
        <w:rPr>
          <w:rFonts w:eastAsia="Times New Roman"/>
        </w:rPr>
        <w:t xml:space="preserve">(1):E109–10. </w:t>
      </w:r>
    </w:p>
    <w:p w:rsidR="00355749" w:rsidRDefault="00355749" w:rsidP="00355749">
      <w:pPr>
        <w:numPr>
          <w:ilvl w:val="0"/>
          <w:numId w:val="7"/>
        </w:numPr>
        <w:spacing w:before="100" w:beforeAutospacing="1" w:after="100" w:afterAutospacing="1" w:line="240" w:lineRule="auto"/>
        <w:rPr>
          <w:rFonts w:eastAsia="Times New Roman"/>
        </w:rPr>
      </w:pPr>
      <w:proofErr w:type="spellStart"/>
      <w:r>
        <w:rPr>
          <w:rFonts w:eastAsia="Times New Roman"/>
        </w:rPr>
        <w:t>Unemo</w:t>
      </w:r>
      <w:proofErr w:type="spellEnd"/>
      <w:r>
        <w:rPr>
          <w:rFonts w:eastAsia="Times New Roman"/>
        </w:rPr>
        <w:t xml:space="preserve"> M. Current and future antimicrobial treatment of gonorrhoea – the rapidly evolving </w:t>
      </w:r>
      <w:r w:rsidRPr="00F458E5">
        <w:rPr>
          <w:rStyle w:val="Emphasis"/>
          <w:rFonts w:eastAsia="Times New Roman"/>
          <w:b w:val="0"/>
        </w:rPr>
        <w:t xml:space="preserve">Neisseria </w:t>
      </w:r>
      <w:proofErr w:type="spellStart"/>
      <w:r w:rsidRPr="00F458E5">
        <w:rPr>
          <w:rStyle w:val="Emphasis"/>
          <w:rFonts w:eastAsia="Times New Roman"/>
          <w:b w:val="0"/>
        </w:rPr>
        <w:t>gonorrhoeae</w:t>
      </w:r>
      <w:proofErr w:type="spellEnd"/>
      <w:r>
        <w:rPr>
          <w:rFonts w:eastAsia="Times New Roman"/>
        </w:rPr>
        <w:t xml:space="preserve"> continues to challenge. </w:t>
      </w:r>
      <w:r w:rsidRPr="00F458E5">
        <w:rPr>
          <w:rStyle w:val="Emphasis"/>
          <w:rFonts w:eastAsia="Times New Roman"/>
          <w:b w:val="0"/>
        </w:rPr>
        <w:t>BMC Infect Dis</w:t>
      </w:r>
      <w:r>
        <w:rPr>
          <w:rFonts w:eastAsia="Times New Roman"/>
        </w:rPr>
        <w:t>. 2015</w:t>
      </w:r>
      <w:proofErr w:type="gramStart"/>
      <w:r>
        <w:rPr>
          <w:rFonts w:eastAsia="Times New Roman"/>
        </w:rPr>
        <w:t>;15:364</w:t>
      </w:r>
      <w:proofErr w:type="gramEnd"/>
      <w:r>
        <w:rPr>
          <w:rFonts w:eastAsia="Times New Roman"/>
        </w:rPr>
        <w:t>.</w:t>
      </w:r>
    </w:p>
    <w:p w:rsidR="008B5348" w:rsidRDefault="008B5348">
      <w:pPr>
        <w:rPr>
          <w:rStyle w:val="A10"/>
        </w:rPr>
      </w:pPr>
    </w:p>
    <w:p w:rsidR="008B5348" w:rsidRDefault="008B5348">
      <w:pPr>
        <w:rPr>
          <w:rStyle w:val="A10"/>
        </w:rPr>
        <w:sectPr w:rsidR="008B5348" w:rsidSect="00A30C37">
          <w:pgSz w:w="11906" w:h="16838"/>
          <w:pgMar w:top="720" w:right="720" w:bottom="1134" w:left="720" w:header="709" w:footer="284" w:gutter="0"/>
          <w:cols w:space="708"/>
          <w:titlePg/>
          <w:docGrid w:linePitch="360"/>
        </w:sectPr>
      </w:pPr>
    </w:p>
    <w:p w:rsidR="000A5F42" w:rsidRPr="000606CC" w:rsidRDefault="000A5F42" w:rsidP="000A5F42">
      <w:pPr>
        <w:pStyle w:val="NoSpacing"/>
        <w:rPr>
          <w:rFonts w:cstheme="minorHAnsi"/>
          <w:sz w:val="18"/>
          <w:szCs w:val="18"/>
        </w:rPr>
      </w:pPr>
      <w:r w:rsidRPr="000606CC">
        <w:rPr>
          <w:rStyle w:val="Strong"/>
          <w:bCs w:val="0"/>
          <w:sz w:val="20"/>
        </w:rPr>
        <w:lastRenderedPageBreak/>
        <w:t>Communicable Diseases Intelligence</w:t>
      </w:r>
    </w:p>
    <w:p w:rsidR="000A5F42" w:rsidRPr="000606CC" w:rsidRDefault="000A5F42" w:rsidP="000A5F42">
      <w:pPr>
        <w:pStyle w:val="NoSpacing"/>
        <w:rPr>
          <w:rFonts w:cstheme="minorHAnsi"/>
          <w:sz w:val="20"/>
          <w:szCs w:val="18"/>
        </w:rPr>
      </w:pPr>
      <w:r w:rsidRPr="000606CC">
        <w:rPr>
          <w:rFonts w:cstheme="minorHAnsi"/>
          <w:sz w:val="20"/>
          <w:szCs w:val="18"/>
        </w:rPr>
        <w:t>ISSN: 2209-6051 Online</w:t>
      </w:r>
    </w:p>
    <w:p w:rsidR="000A5F42" w:rsidRPr="000606CC" w:rsidRDefault="000A5F42" w:rsidP="000A5F42">
      <w:pPr>
        <w:pStyle w:val="NoSpacing"/>
        <w:rPr>
          <w:rStyle w:val="URI"/>
          <w:rFonts w:cstheme="minorHAnsi"/>
          <w:sz w:val="20"/>
          <w:szCs w:val="18"/>
        </w:rPr>
      </w:pPr>
    </w:p>
    <w:p w:rsidR="000A5F42" w:rsidRPr="000606CC" w:rsidRDefault="000A5F42" w:rsidP="000A5F42">
      <w:pPr>
        <w:pStyle w:val="NoSpacing"/>
        <w:rPr>
          <w:rStyle w:val="Strong"/>
          <w:rFonts w:cs="Calibri"/>
          <w:sz w:val="20"/>
          <w:szCs w:val="18"/>
        </w:rPr>
      </w:pPr>
      <w:r w:rsidRPr="000606CC">
        <w:rPr>
          <w:rStyle w:val="Strong"/>
          <w:rFonts w:cs="Calibri"/>
          <w:b w:val="0"/>
          <w:bCs w:val="0"/>
          <w:sz w:val="20"/>
          <w:szCs w:val="18"/>
        </w:rPr>
        <w:t>Communicable Diseases Intelligence (CDI) is a peer-reviewed scientific journal published by the Office of Health Protection, Department of Health. The journal aims to disseminate information on the epidemiology, surveillance, prevention and control of communicable diseases of relevance to Australia.</w:t>
      </w:r>
    </w:p>
    <w:p w:rsidR="000A5F42" w:rsidRPr="000606CC" w:rsidRDefault="000A5F42" w:rsidP="000A5F42">
      <w:pPr>
        <w:pStyle w:val="NoSpacing"/>
        <w:rPr>
          <w:rStyle w:val="Strong"/>
          <w:rFonts w:cstheme="minorHAnsi"/>
          <w:sz w:val="20"/>
          <w:szCs w:val="18"/>
        </w:rPr>
      </w:pPr>
    </w:p>
    <w:p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Editor: </w:t>
      </w:r>
      <w:r w:rsidRPr="000606CC">
        <w:rPr>
          <w:rFonts w:cstheme="minorHAnsi"/>
          <w:sz w:val="20"/>
          <w:szCs w:val="18"/>
        </w:rPr>
        <w:t>Cindy Toms</w:t>
      </w:r>
    </w:p>
    <w:p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Deputy Editor: </w:t>
      </w:r>
      <w:r w:rsidR="00C838F5" w:rsidRPr="00C838F5">
        <w:rPr>
          <w:rFonts w:cstheme="minorHAnsi"/>
          <w:sz w:val="20"/>
          <w:szCs w:val="18"/>
        </w:rPr>
        <w:t>Simon Petrie</w:t>
      </w:r>
    </w:p>
    <w:p w:rsidR="000A5F42" w:rsidRPr="000606CC" w:rsidRDefault="00967410" w:rsidP="000A5F42">
      <w:pPr>
        <w:pStyle w:val="NoSpacing"/>
        <w:rPr>
          <w:rFonts w:cstheme="minorHAnsi"/>
          <w:sz w:val="20"/>
          <w:szCs w:val="18"/>
        </w:rPr>
      </w:pPr>
      <w:r>
        <w:rPr>
          <w:rStyle w:val="Strong"/>
          <w:rFonts w:cstheme="minorHAnsi"/>
          <w:sz w:val="20"/>
          <w:szCs w:val="18"/>
        </w:rPr>
        <w:t>Design</w:t>
      </w:r>
      <w:r w:rsidR="000A5F42" w:rsidRPr="000606CC">
        <w:rPr>
          <w:rStyle w:val="Strong"/>
          <w:rFonts w:cstheme="minorHAnsi"/>
          <w:sz w:val="20"/>
          <w:szCs w:val="18"/>
        </w:rPr>
        <w:t xml:space="preserve"> and Production: </w:t>
      </w:r>
      <w:r w:rsidR="000A5F42" w:rsidRPr="000606CC">
        <w:rPr>
          <w:rFonts w:cstheme="minorHAnsi"/>
          <w:sz w:val="20"/>
          <w:szCs w:val="18"/>
        </w:rPr>
        <w:t>Kasra Yousefi</w:t>
      </w:r>
    </w:p>
    <w:p w:rsidR="000A5F42" w:rsidRPr="000606CC" w:rsidRDefault="000A5F42" w:rsidP="000A5F42">
      <w:pPr>
        <w:pStyle w:val="NoSpacing"/>
        <w:rPr>
          <w:rFonts w:cstheme="minorHAnsi"/>
          <w:b/>
          <w:bCs/>
          <w:sz w:val="20"/>
          <w:szCs w:val="18"/>
        </w:rPr>
      </w:pPr>
      <w:r w:rsidRPr="000606CC">
        <w:rPr>
          <w:rStyle w:val="Strong"/>
          <w:rFonts w:cstheme="minorHAnsi"/>
          <w:sz w:val="20"/>
          <w:szCs w:val="18"/>
        </w:rPr>
        <w:t xml:space="preserve">Editorial Advisory Board: </w:t>
      </w:r>
      <w:r w:rsidRPr="000606CC">
        <w:rPr>
          <w:rFonts w:cstheme="minorHAnsi"/>
          <w:sz w:val="20"/>
          <w:szCs w:val="18"/>
        </w:rPr>
        <w:t xml:space="preserve">David Durrheim, </w:t>
      </w:r>
      <w:r w:rsidRPr="000606CC">
        <w:rPr>
          <w:rStyle w:val="nobreak"/>
          <w:rFonts w:cstheme="minorHAnsi"/>
          <w:sz w:val="20"/>
          <w:szCs w:val="18"/>
        </w:rPr>
        <w:t>Mark Ferson</w:t>
      </w:r>
      <w:r w:rsidR="00F55648">
        <w:rPr>
          <w:rFonts w:cstheme="minorHAnsi"/>
          <w:sz w:val="20"/>
          <w:szCs w:val="18"/>
        </w:rPr>
        <w:t>, John </w:t>
      </w:r>
      <w:proofErr w:type="spellStart"/>
      <w:r w:rsidR="00F55648">
        <w:rPr>
          <w:rFonts w:cstheme="minorHAnsi"/>
          <w:sz w:val="20"/>
          <w:szCs w:val="18"/>
        </w:rPr>
        <w:t>Kaldor</w:t>
      </w:r>
      <w:proofErr w:type="spellEnd"/>
      <w:r w:rsidR="00F55648">
        <w:rPr>
          <w:rFonts w:cstheme="minorHAnsi"/>
          <w:sz w:val="20"/>
          <w:szCs w:val="18"/>
        </w:rPr>
        <w:t xml:space="preserve">, </w:t>
      </w:r>
      <w:r w:rsidRPr="000606CC">
        <w:rPr>
          <w:rStyle w:val="nobreak"/>
          <w:rFonts w:cstheme="minorHAnsi"/>
          <w:sz w:val="20"/>
          <w:szCs w:val="18"/>
        </w:rPr>
        <w:t>Martyn Kirk</w:t>
      </w:r>
      <w:r w:rsidR="00F55648">
        <w:rPr>
          <w:rStyle w:val="nobreak"/>
          <w:rFonts w:cstheme="minorHAnsi"/>
          <w:sz w:val="20"/>
          <w:szCs w:val="18"/>
        </w:rPr>
        <w:t xml:space="preserve"> and Linda Selvey</w:t>
      </w:r>
    </w:p>
    <w:p w:rsidR="000A5F42" w:rsidRPr="000606CC" w:rsidRDefault="000A5F42" w:rsidP="000A5F42">
      <w:pPr>
        <w:pStyle w:val="NoSpacing"/>
        <w:rPr>
          <w:rStyle w:val="Strong"/>
          <w:rFonts w:cstheme="minorHAnsi"/>
          <w:sz w:val="20"/>
          <w:szCs w:val="18"/>
        </w:rPr>
      </w:pPr>
    </w:p>
    <w:p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Website</w:t>
      </w:r>
      <w:r w:rsidRPr="000606CC">
        <w:rPr>
          <w:rFonts w:cstheme="minorHAnsi"/>
          <w:sz w:val="20"/>
          <w:szCs w:val="18"/>
        </w:rPr>
        <w:t xml:space="preserve">: </w:t>
      </w:r>
      <w:hyperlink r:id="rId13" w:tooltip="CDI website" w:history="1">
        <w:r w:rsidRPr="000606CC">
          <w:rPr>
            <w:rStyle w:val="Hyperlink"/>
            <w:rFonts w:cstheme="minorHAnsi"/>
            <w:sz w:val="20"/>
            <w:szCs w:val="18"/>
          </w:rPr>
          <w:t>http://www.health.gov.au/cdi</w:t>
        </w:r>
      </w:hyperlink>
      <w:r w:rsidRPr="000606CC">
        <w:rPr>
          <w:rStyle w:val="URI"/>
          <w:rFonts w:cstheme="minorHAnsi"/>
          <w:sz w:val="20"/>
          <w:szCs w:val="18"/>
        </w:rPr>
        <w:t xml:space="preserve"> </w:t>
      </w:r>
    </w:p>
    <w:p w:rsidR="000A5F42" w:rsidRPr="000606CC" w:rsidRDefault="000A5F42" w:rsidP="000A5F42">
      <w:pPr>
        <w:pStyle w:val="NoSpacing"/>
        <w:rPr>
          <w:rStyle w:val="Strong"/>
          <w:rFonts w:cstheme="minorHAnsi"/>
          <w:sz w:val="20"/>
          <w:szCs w:val="18"/>
        </w:rPr>
      </w:pPr>
    </w:p>
    <w:p w:rsidR="000A5F42" w:rsidRPr="000606CC" w:rsidRDefault="000A5F42" w:rsidP="000A5F42">
      <w:pPr>
        <w:pStyle w:val="NoSpacing"/>
        <w:rPr>
          <w:rFonts w:cstheme="minorHAnsi"/>
          <w:sz w:val="20"/>
          <w:szCs w:val="18"/>
        </w:rPr>
      </w:pPr>
      <w:r w:rsidRPr="000606CC">
        <w:rPr>
          <w:rStyle w:val="Strong"/>
          <w:rFonts w:cstheme="minorHAnsi"/>
          <w:sz w:val="20"/>
          <w:szCs w:val="18"/>
        </w:rPr>
        <w:t>Contacts</w:t>
      </w:r>
      <w:r w:rsidRPr="000606CC">
        <w:rPr>
          <w:rStyle w:val="Strong"/>
          <w:rFonts w:cstheme="minorHAnsi"/>
          <w:sz w:val="20"/>
          <w:szCs w:val="18"/>
        </w:rPr>
        <w:br/>
      </w:r>
      <w:r w:rsidRPr="000606CC">
        <w:rPr>
          <w:rFonts w:cstheme="minorHAnsi"/>
          <w:sz w:val="20"/>
          <w:szCs w:val="18"/>
        </w:rPr>
        <w:t xml:space="preserve">Communicable Diseases Intelligence is produced by: </w:t>
      </w:r>
      <w:r w:rsidRPr="000606CC">
        <w:rPr>
          <w:rFonts w:cstheme="minorHAnsi"/>
          <w:sz w:val="20"/>
          <w:szCs w:val="18"/>
        </w:rPr>
        <w:br/>
        <w:t>Health Protection Policy Branch, Office of Health Protection, Australian Government Department of Health</w:t>
      </w:r>
      <w:r w:rsidRPr="000606CC">
        <w:rPr>
          <w:rFonts w:cstheme="minorHAnsi"/>
          <w:sz w:val="20"/>
          <w:szCs w:val="18"/>
        </w:rPr>
        <w:br/>
        <w:t xml:space="preserve">GPO Box 9848, </w:t>
      </w:r>
      <w:proofErr w:type="gramStart"/>
      <w:r w:rsidRPr="000606CC">
        <w:rPr>
          <w:rFonts w:cstheme="minorHAnsi"/>
          <w:sz w:val="20"/>
          <w:szCs w:val="18"/>
        </w:rPr>
        <w:t>(</w:t>
      </w:r>
      <w:proofErr w:type="gramEnd"/>
      <w:r w:rsidRPr="000606CC">
        <w:rPr>
          <w:rFonts w:cstheme="minorHAnsi"/>
          <w:sz w:val="20"/>
          <w:szCs w:val="18"/>
        </w:rPr>
        <w:t>MDP 6) CANBERRA ACT 2601</w:t>
      </w:r>
    </w:p>
    <w:p w:rsidR="000A5F42" w:rsidRPr="000606CC" w:rsidRDefault="000A5F42" w:rsidP="000A5F42">
      <w:pPr>
        <w:pStyle w:val="NoSpacing"/>
        <w:rPr>
          <w:rStyle w:val="Strong"/>
          <w:rFonts w:cstheme="minorHAnsi"/>
          <w:sz w:val="20"/>
          <w:szCs w:val="18"/>
        </w:rPr>
      </w:pPr>
    </w:p>
    <w:p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 xml:space="preserve">Email: </w:t>
      </w:r>
      <w:hyperlink r:id="rId14" w:history="1">
        <w:r w:rsidRPr="000606CC">
          <w:rPr>
            <w:rStyle w:val="Hyperlink"/>
            <w:rFonts w:cstheme="minorHAnsi"/>
            <w:sz w:val="20"/>
            <w:szCs w:val="18"/>
          </w:rPr>
          <w:t>cdi.editor@health.gov.au</w:t>
        </w:r>
      </w:hyperlink>
      <w:r w:rsidRPr="000606CC">
        <w:rPr>
          <w:rStyle w:val="URI"/>
          <w:rFonts w:cstheme="minorHAnsi"/>
          <w:sz w:val="20"/>
          <w:szCs w:val="18"/>
        </w:rPr>
        <w:t xml:space="preserve"> </w:t>
      </w:r>
    </w:p>
    <w:p w:rsidR="000A5F42" w:rsidRPr="000606CC" w:rsidRDefault="000A5F42" w:rsidP="000A5F42">
      <w:pPr>
        <w:pStyle w:val="NoSpacing"/>
        <w:rPr>
          <w:rStyle w:val="Strong"/>
          <w:rFonts w:cstheme="minorHAnsi"/>
          <w:sz w:val="20"/>
          <w:szCs w:val="18"/>
        </w:rPr>
      </w:pPr>
    </w:p>
    <w:p w:rsidR="000A5F42" w:rsidRPr="000606CC" w:rsidRDefault="000A5F42" w:rsidP="000A5F42">
      <w:pPr>
        <w:pStyle w:val="NoSpacing"/>
        <w:rPr>
          <w:rFonts w:cstheme="minorHAnsi"/>
          <w:sz w:val="20"/>
          <w:szCs w:val="18"/>
        </w:rPr>
      </w:pPr>
      <w:r w:rsidRPr="000606CC">
        <w:rPr>
          <w:rStyle w:val="Strong"/>
          <w:rFonts w:cstheme="minorHAnsi"/>
          <w:sz w:val="20"/>
          <w:szCs w:val="18"/>
        </w:rPr>
        <w:t>Submit an Article</w:t>
      </w:r>
      <w:r w:rsidRPr="000606CC">
        <w:rPr>
          <w:rStyle w:val="Strong"/>
          <w:rFonts w:cstheme="minorHAnsi"/>
          <w:sz w:val="20"/>
          <w:szCs w:val="18"/>
        </w:rPr>
        <w:br/>
      </w:r>
      <w:proofErr w:type="gramStart"/>
      <w:r w:rsidRPr="000606CC">
        <w:rPr>
          <w:rFonts w:cstheme="minorHAnsi"/>
          <w:sz w:val="20"/>
          <w:szCs w:val="18"/>
        </w:rPr>
        <w:t>You</w:t>
      </w:r>
      <w:proofErr w:type="gramEnd"/>
      <w:r w:rsidRPr="000606CC">
        <w:rPr>
          <w:rFonts w:cstheme="minorHAnsi"/>
          <w:sz w:val="20"/>
          <w:szCs w:val="18"/>
        </w:rPr>
        <w:t xml:space="preserve"> are invited to submit your next communicable disease related article to the Communicable Diseases Intelligence (CDI) for consideration. More information regarding CDI can be found at: </w:t>
      </w:r>
      <w:hyperlink r:id="rId15" w:tooltip="CDI Website" w:history="1">
        <w:r w:rsidRPr="000606CC">
          <w:rPr>
            <w:rStyle w:val="Hyperlink"/>
            <w:rFonts w:cstheme="minorHAnsi"/>
            <w:sz w:val="20"/>
            <w:szCs w:val="18"/>
          </w:rPr>
          <w:t>http://health.gov.au/cdi</w:t>
        </w:r>
      </w:hyperlink>
      <w:r w:rsidRPr="000606CC">
        <w:rPr>
          <w:rFonts w:cstheme="minorHAnsi"/>
          <w:sz w:val="20"/>
          <w:szCs w:val="18"/>
        </w:rPr>
        <w:t xml:space="preserve">. </w:t>
      </w:r>
    </w:p>
    <w:p w:rsidR="000A5F42" w:rsidRPr="000606CC" w:rsidRDefault="000A5F42" w:rsidP="000A5F42">
      <w:pPr>
        <w:pStyle w:val="NoSpacing"/>
        <w:rPr>
          <w:rFonts w:cstheme="minorHAnsi"/>
          <w:sz w:val="20"/>
          <w:szCs w:val="18"/>
        </w:rPr>
      </w:pPr>
      <w:r w:rsidRPr="000606CC">
        <w:rPr>
          <w:rFonts w:cstheme="minorHAnsi"/>
          <w:sz w:val="20"/>
          <w:szCs w:val="18"/>
        </w:rPr>
        <w:t xml:space="preserve">Further enquiries should be directed to: </w:t>
      </w:r>
      <w:hyperlink r:id="rId16" w:history="1">
        <w:r w:rsidRPr="000606CC">
          <w:rPr>
            <w:rStyle w:val="Hyperlink"/>
            <w:rFonts w:cstheme="minorHAnsi"/>
            <w:sz w:val="20"/>
            <w:szCs w:val="18"/>
          </w:rPr>
          <w:t>cdi.editor@health.gov.au</w:t>
        </w:r>
      </w:hyperlink>
      <w:r w:rsidRPr="000606CC">
        <w:rPr>
          <w:rFonts w:cstheme="minorHAnsi"/>
          <w:sz w:val="20"/>
          <w:szCs w:val="18"/>
        </w:rPr>
        <w:t>.</w:t>
      </w:r>
    </w:p>
    <w:p w:rsidR="000A5F42" w:rsidRPr="000606CC" w:rsidRDefault="000A5F42" w:rsidP="000A5F42">
      <w:pPr>
        <w:pStyle w:val="NoSpacing"/>
        <w:pBdr>
          <w:bottom w:val="single" w:sz="6" w:space="1" w:color="auto"/>
        </w:pBdr>
        <w:rPr>
          <w:rStyle w:val="Strong"/>
          <w:rFonts w:cstheme="minorHAnsi"/>
          <w:sz w:val="12"/>
          <w:szCs w:val="18"/>
        </w:rPr>
      </w:pPr>
    </w:p>
    <w:p w:rsidR="000A5F42" w:rsidRPr="000606CC" w:rsidRDefault="000A5F42" w:rsidP="000A5F42">
      <w:pPr>
        <w:pStyle w:val="NoSpacing"/>
        <w:rPr>
          <w:rFonts w:cstheme="minorHAnsi"/>
          <w:sz w:val="20"/>
          <w:szCs w:val="18"/>
        </w:rPr>
      </w:pPr>
    </w:p>
    <w:p w:rsidR="000A5F42" w:rsidRPr="000606CC" w:rsidRDefault="000A5F42" w:rsidP="000A5F42">
      <w:pPr>
        <w:pStyle w:val="NoSpacing"/>
        <w:rPr>
          <w:rFonts w:cstheme="minorHAnsi"/>
          <w:sz w:val="20"/>
          <w:szCs w:val="18"/>
        </w:rPr>
      </w:pPr>
      <w:r w:rsidRPr="000606CC">
        <w:rPr>
          <w:rFonts w:cstheme="minorHAnsi"/>
          <w:sz w:val="20"/>
          <w:szCs w:val="18"/>
        </w:rPr>
        <w:t xml:space="preserve">This journal is indexed by Index </w:t>
      </w:r>
      <w:proofErr w:type="spellStart"/>
      <w:r w:rsidRPr="000606CC">
        <w:rPr>
          <w:rFonts w:cstheme="minorHAnsi"/>
          <w:sz w:val="20"/>
          <w:szCs w:val="18"/>
        </w:rPr>
        <w:t>Medicus</w:t>
      </w:r>
      <w:proofErr w:type="spellEnd"/>
      <w:r w:rsidRPr="000606CC">
        <w:rPr>
          <w:rFonts w:cstheme="minorHAnsi"/>
          <w:sz w:val="20"/>
          <w:szCs w:val="18"/>
        </w:rPr>
        <w:t xml:space="preserve"> and Medline.</w:t>
      </w:r>
    </w:p>
    <w:p w:rsidR="000A5F42" w:rsidRPr="000606CC" w:rsidRDefault="000A5F42" w:rsidP="000A5F42">
      <w:pPr>
        <w:pStyle w:val="NoSpacing"/>
        <w:rPr>
          <w:rFonts w:cstheme="minorHAnsi"/>
          <w:sz w:val="20"/>
          <w:szCs w:val="18"/>
        </w:rPr>
      </w:pPr>
    </w:p>
    <w:p w:rsidR="000A5F42" w:rsidRPr="000606CC" w:rsidRDefault="000A5F42" w:rsidP="000A5F42">
      <w:pPr>
        <w:pStyle w:val="NoSpacing"/>
        <w:rPr>
          <w:rFonts w:cstheme="minorHAnsi"/>
          <w:sz w:val="20"/>
          <w:szCs w:val="18"/>
        </w:rPr>
      </w:pPr>
      <w:r w:rsidRPr="000606CC">
        <w:rPr>
          <w:rFonts w:cstheme="minorHAnsi"/>
          <w:sz w:val="20"/>
          <w:szCs w:val="18"/>
        </w:rPr>
        <w:t>Creative Commons Licence -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CC BY-NC-ND</w:t>
      </w:r>
    </w:p>
    <w:p w:rsidR="000A5F42" w:rsidRPr="000606CC" w:rsidRDefault="000A5F42" w:rsidP="000A5F42">
      <w:pPr>
        <w:pStyle w:val="NoSpacing"/>
        <w:rPr>
          <w:rFonts w:cstheme="minorHAnsi"/>
          <w:sz w:val="20"/>
          <w:szCs w:val="18"/>
        </w:rPr>
      </w:pPr>
      <w:r w:rsidRPr="000606CC">
        <w:rPr>
          <w:rFonts w:cstheme="minorHAnsi"/>
          <w:sz w:val="20"/>
          <w:szCs w:val="18"/>
        </w:rPr>
        <w:t>© 2019 Commonwealth of Australia as represented by the Department of Health</w:t>
      </w:r>
    </w:p>
    <w:p w:rsidR="000A5F42" w:rsidRPr="000606CC" w:rsidRDefault="000A5F42" w:rsidP="000A5F42">
      <w:pPr>
        <w:pStyle w:val="NoSpacing"/>
        <w:rPr>
          <w:rFonts w:cstheme="minorHAnsi"/>
          <w:sz w:val="20"/>
          <w:szCs w:val="18"/>
        </w:rPr>
      </w:pPr>
      <w:r w:rsidRPr="000606CC">
        <w:rPr>
          <w:rFonts w:cstheme="minorHAnsi"/>
          <w:sz w:val="20"/>
          <w:szCs w:val="18"/>
        </w:rPr>
        <w:t>This publication is licensed under a Creative Commons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4.0 International Licence from </w:t>
      </w:r>
      <w:hyperlink r:id="rId17" w:tooltip="Creative Commons licence" w:history="1">
        <w:r w:rsidRPr="000606CC">
          <w:rPr>
            <w:rStyle w:val="Hyperlink"/>
            <w:rFonts w:cstheme="minorHAnsi"/>
            <w:sz w:val="20"/>
            <w:szCs w:val="18"/>
          </w:rPr>
          <w:t>https://creativecommons.org/licenses/by-nc-nd/4.0/legalcode</w:t>
        </w:r>
      </w:hyperlink>
      <w:r w:rsidRPr="000606CC">
        <w:rPr>
          <w:rStyle w:val="URI"/>
          <w:rFonts w:cstheme="minorHAnsi"/>
          <w:sz w:val="20"/>
          <w:szCs w:val="18"/>
        </w:rPr>
        <w:t xml:space="preserve"> </w:t>
      </w:r>
      <w:r w:rsidRPr="000606CC">
        <w:rPr>
          <w:rFonts w:cstheme="minorHAnsi"/>
          <w:sz w:val="20"/>
          <w:szCs w:val="18"/>
        </w:rPr>
        <w:t>(Licence). You must read and understand the Licence before using any material from this publication.</w:t>
      </w:r>
    </w:p>
    <w:p w:rsidR="000A5F42" w:rsidRPr="000606CC" w:rsidRDefault="000A5F42" w:rsidP="000A5F42">
      <w:pPr>
        <w:pStyle w:val="NoSpacing"/>
        <w:rPr>
          <w:rFonts w:cstheme="minorHAnsi"/>
          <w:sz w:val="20"/>
          <w:szCs w:val="18"/>
        </w:rPr>
      </w:pPr>
    </w:p>
    <w:p w:rsidR="000A5F42" w:rsidRPr="000606CC" w:rsidRDefault="000A5F42" w:rsidP="000A5F42">
      <w:pPr>
        <w:pStyle w:val="NoSpacing"/>
        <w:rPr>
          <w:rFonts w:cstheme="minorHAnsi"/>
          <w:sz w:val="20"/>
          <w:szCs w:val="18"/>
        </w:rPr>
      </w:pPr>
      <w:r w:rsidRPr="000606CC">
        <w:rPr>
          <w:rStyle w:val="Strong"/>
          <w:rFonts w:cstheme="minorHAnsi"/>
          <w:sz w:val="20"/>
          <w:szCs w:val="18"/>
        </w:rPr>
        <w:t>Restrictions</w:t>
      </w:r>
      <w:r w:rsidRPr="000606CC">
        <w:rPr>
          <w:rStyle w:val="Strong"/>
          <w:rFonts w:cstheme="minorHAnsi"/>
          <w:sz w:val="20"/>
          <w:szCs w:val="18"/>
        </w:rPr>
        <w:br/>
      </w:r>
      <w:r w:rsidRPr="000606CC">
        <w:rPr>
          <w:rFonts w:cstheme="minorHAnsi"/>
          <w:sz w:val="20"/>
          <w:szCs w:val="18"/>
        </w:rPr>
        <w:t>The Licence does not cover, and there is no permission given for, use of any of the following material found in this publication (if</w:t>
      </w:r>
      <w:r w:rsidR="001378A3">
        <w:rPr>
          <w:rFonts w:cstheme="minorHAnsi"/>
          <w:sz w:val="20"/>
          <w:szCs w:val="18"/>
        </w:rPr>
        <w:t> </w:t>
      </w:r>
      <w:r w:rsidRPr="000606CC">
        <w:rPr>
          <w:rFonts w:cstheme="minorHAnsi"/>
          <w:sz w:val="20"/>
          <w:szCs w:val="18"/>
        </w:rPr>
        <w:t xml:space="preserve">any): </w:t>
      </w:r>
    </w:p>
    <w:p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the Commonwealth Coat of Arms (by way of information, the terms under which the Coat of Arms may be used can be found at </w:t>
      </w:r>
      <w:hyperlink r:id="rId18" w:tooltip="Australian Honours system website" w:history="1">
        <w:r w:rsidRPr="000606CC">
          <w:rPr>
            <w:rStyle w:val="Hyperlink"/>
            <w:rFonts w:cstheme="minorHAnsi"/>
            <w:sz w:val="20"/>
            <w:szCs w:val="18"/>
          </w:rPr>
          <w:t>www.itsanhonour.gov.au</w:t>
        </w:r>
      </w:hyperlink>
      <w:r w:rsidRPr="000606CC">
        <w:rPr>
          <w:rStyle w:val="URI"/>
          <w:rFonts w:cstheme="minorHAnsi"/>
          <w:sz w:val="20"/>
          <w:szCs w:val="18"/>
          <w:u w:val="none"/>
        </w:rPr>
        <w:t>)</w:t>
      </w:r>
      <w:r w:rsidRPr="000606CC">
        <w:rPr>
          <w:rFonts w:cstheme="minorHAnsi"/>
          <w:sz w:val="20"/>
          <w:szCs w:val="18"/>
        </w:rPr>
        <w:t xml:space="preserve">;  </w:t>
      </w:r>
    </w:p>
    <w:p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any logos (including the Department of Health’s logo) and trademarks;</w:t>
      </w:r>
    </w:p>
    <w:p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photographs and images; </w:t>
      </w:r>
    </w:p>
    <w:p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any signatures; and</w:t>
      </w:r>
    </w:p>
    <w:p w:rsidR="000A5F42" w:rsidRPr="000606CC" w:rsidRDefault="000A5F42" w:rsidP="000A5F42">
      <w:pPr>
        <w:pStyle w:val="NoSpacing"/>
        <w:numPr>
          <w:ilvl w:val="0"/>
          <w:numId w:val="6"/>
        </w:numPr>
        <w:rPr>
          <w:rFonts w:cstheme="minorHAnsi"/>
          <w:sz w:val="20"/>
          <w:szCs w:val="18"/>
        </w:rPr>
      </w:pPr>
      <w:proofErr w:type="gramStart"/>
      <w:r w:rsidRPr="000606CC">
        <w:rPr>
          <w:rFonts w:cstheme="minorHAnsi"/>
          <w:sz w:val="20"/>
          <w:szCs w:val="18"/>
        </w:rPr>
        <w:t>any</w:t>
      </w:r>
      <w:proofErr w:type="gramEnd"/>
      <w:r w:rsidRPr="000606CC">
        <w:rPr>
          <w:rFonts w:cstheme="minorHAnsi"/>
          <w:sz w:val="20"/>
          <w:szCs w:val="18"/>
        </w:rPr>
        <w:t xml:space="preserve"> material belonging to third parties. </w:t>
      </w:r>
    </w:p>
    <w:p w:rsidR="000A5F42" w:rsidRPr="000606CC" w:rsidRDefault="000A5F42" w:rsidP="000A5F42">
      <w:pPr>
        <w:pStyle w:val="NoSpacing"/>
        <w:rPr>
          <w:rStyle w:val="Strong"/>
          <w:rFonts w:cstheme="minorHAnsi"/>
          <w:sz w:val="20"/>
          <w:szCs w:val="18"/>
        </w:rPr>
      </w:pPr>
    </w:p>
    <w:p w:rsidR="000A5F42" w:rsidRPr="000606CC" w:rsidRDefault="000A5F42" w:rsidP="000A5F42">
      <w:pPr>
        <w:pStyle w:val="NoSpacing"/>
        <w:rPr>
          <w:rStyle w:val="Strong"/>
          <w:rFonts w:cstheme="minorHAnsi"/>
          <w:sz w:val="20"/>
          <w:szCs w:val="18"/>
        </w:rPr>
      </w:pPr>
      <w:r w:rsidRPr="000606CC">
        <w:rPr>
          <w:rStyle w:val="Strong"/>
          <w:rFonts w:cstheme="minorHAnsi"/>
          <w:sz w:val="20"/>
          <w:szCs w:val="18"/>
        </w:rPr>
        <w:t>Disclaimer</w:t>
      </w:r>
      <w:r w:rsidRPr="000606CC">
        <w:rPr>
          <w:rStyle w:val="Strong"/>
          <w:rFonts w:cstheme="minorHAnsi"/>
          <w:sz w:val="20"/>
          <w:szCs w:val="18"/>
        </w:rPr>
        <w:br/>
      </w:r>
      <w:r w:rsidRPr="000606CC">
        <w:rPr>
          <w:rFonts w:cstheme="minorHAnsi"/>
          <w:sz w:val="20"/>
          <w:szCs w:val="18"/>
        </w:rPr>
        <w:t>Opinions expressed in Communicable Diseases Intelligence are those of the authors and not necessarily those of the Australian Government Department of Health or the Communicable Diseases Network Australia. Data may be subject to revision.</w:t>
      </w:r>
    </w:p>
    <w:p w:rsidR="000A5F42" w:rsidRPr="000606CC" w:rsidRDefault="000A5F42" w:rsidP="000A5F42">
      <w:pPr>
        <w:pStyle w:val="NoSpacing"/>
        <w:rPr>
          <w:rStyle w:val="Strong"/>
          <w:rFonts w:cstheme="minorHAnsi"/>
          <w:sz w:val="20"/>
          <w:szCs w:val="18"/>
        </w:rPr>
      </w:pPr>
    </w:p>
    <w:p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Enquiries</w:t>
      </w:r>
      <w:r w:rsidRPr="000606CC">
        <w:rPr>
          <w:rStyle w:val="Strong"/>
          <w:rFonts w:cstheme="minorHAnsi"/>
          <w:sz w:val="20"/>
          <w:szCs w:val="18"/>
        </w:rPr>
        <w:br/>
      </w:r>
      <w:proofErr w:type="spellStart"/>
      <w:r w:rsidRPr="000606CC">
        <w:rPr>
          <w:rFonts w:cstheme="minorHAnsi"/>
          <w:sz w:val="20"/>
          <w:szCs w:val="18"/>
        </w:rPr>
        <w:t>Enquiries</w:t>
      </w:r>
      <w:proofErr w:type="spellEnd"/>
      <w:r w:rsidRPr="000606CC">
        <w:rPr>
          <w:rFonts w:cstheme="minorHAnsi"/>
          <w:sz w:val="20"/>
          <w:szCs w:val="18"/>
        </w:rPr>
        <w:t xml:space="preserve"> regarding any other use of this publication should be addressed to the Communication Branch, Department of Health, GPO Box 9848, Canberra ACT 2601, or via e-mail to: </w:t>
      </w:r>
      <w:hyperlink r:id="rId19" w:history="1">
        <w:r w:rsidRPr="000606CC">
          <w:rPr>
            <w:rStyle w:val="Hyperlink"/>
            <w:rFonts w:cstheme="minorHAnsi"/>
            <w:sz w:val="20"/>
            <w:szCs w:val="18"/>
          </w:rPr>
          <w:t>copyright@health.gov.au</w:t>
        </w:r>
      </w:hyperlink>
      <w:r w:rsidRPr="000606CC">
        <w:rPr>
          <w:rStyle w:val="URI"/>
          <w:rFonts w:cstheme="minorHAnsi"/>
          <w:sz w:val="20"/>
          <w:szCs w:val="18"/>
        </w:rPr>
        <w:t xml:space="preserve"> </w:t>
      </w:r>
    </w:p>
    <w:p w:rsidR="000A5F42" w:rsidRPr="000606CC" w:rsidRDefault="000A5F42" w:rsidP="000A5F42">
      <w:pPr>
        <w:pStyle w:val="NoSpacing"/>
        <w:rPr>
          <w:rStyle w:val="URI"/>
          <w:rFonts w:cstheme="minorHAnsi"/>
          <w:sz w:val="20"/>
          <w:szCs w:val="18"/>
        </w:rPr>
      </w:pPr>
    </w:p>
    <w:p w:rsidR="000A5F42" w:rsidRPr="000606CC" w:rsidRDefault="000A5F42" w:rsidP="000A5F42">
      <w:pPr>
        <w:pStyle w:val="NoSpacing"/>
        <w:rPr>
          <w:rStyle w:val="Strong"/>
          <w:rFonts w:cstheme="minorHAnsi"/>
          <w:b w:val="0"/>
          <w:bCs w:val="0"/>
          <w:color w:val="000000"/>
          <w:sz w:val="20"/>
          <w:szCs w:val="18"/>
          <w:u w:val="thick"/>
        </w:rPr>
      </w:pPr>
      <w:r w:rsidRPr="000606CC">
        <w:rPr>
          <w:rStyle w:val="Strong"/>
          <w:rFonts w:cstheme="minorHAnsi"/>
          <w:sz w:val="20"/>
          <w:szCs w:val="18"/>
        </w:rPr>
        <w:t>Communicable Diseases Network Australia</w:t>
      </w:r>
      <w:r w:rsidRPr="000606CC">
        <w:rPr>
          <w:rStyle w:val="Strong"/>
          <w:rFonts w:cstheme="minorHAnsi"/>
          <w:sz w:val="20"/>
          <w:szCs w:val="18"/>
        </w:rPr>
        <w:br/>
      </w:r>
      <w:r w:rsidRPr="000606CC">
        <w:rPr>
          <w:rFonts w:cstheme="minorHAnsi"/>
          <w:sz w:val="20"/>
          <w:szCs w:val="18"/>
        </w:rPr>
        <w:t>Communicable Diseases Intelligence contributes to the work of the Communicable Diseases Network Australia.</w:t>
      </w:r>
      <w:r w:rsidRPr="000606CC">
        <w:rPr>
          <w:rFonts w:cstheme="minorHAnsi"/>
          <w:sz w:val="20"/>
          <w:szCs w:val="18"/>
        </w:rPr>
        <w:br/>
      </w:r>
      <w:hyperlink r:id="rId20" w:tooltip="Communicable Diseases Network Australia website" w:history="1">
        <w:r w:rsidRPr="000606CC">
          <w:rPr>
            <w:rStyle w:val="Hyperlink"/>
            <w:rFonts w:cstheme="minorHAnsi"/>
            <w:sz w:val="20"/>
            <w:szCs w:val="18"/>
          </w:rPr>
          <w:t>http://www.health.gov.au/cdna</w:t>
        </w:r>
      </w:hyperlink>
    </w:p>
    <w:p w:rsidR="001B37B8" w:rsidRPr="00E92237" w:rsidRDefault="001B37B8" w:rsidP="001B37B8">
      <w:pPr>
        <w:rPr>
          <w:rFonts w:cs="Myriad Pro"/>
          <w:color w:val="211D1E"/>
          <w:sz w:val="20"/>
          <w:szCs w:val="20"/>
        </w:rPr>
      </w:pPr>
    </w:p>
    <w:sectPr w:rsidR="001B37B8" w:rsidRPr="00E92237" w:rsidSect="002B75A9">
      <w:headerReference w:type="default" r:id="rId21"/>
      <w:pgSz w:w="11906" w:h="16838"/>
      <w:pgMar w:top="720" w:right="720" w:bottom="1134" w:left="720"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5671" w:rsidRDefault="00B45671" w:rsidP="00E54DBA">
      <w:r>
        <w:separator/>
      </w:r>
    </w:p>
    <w:p w:rsidR="00B45671" w:rsidRDefault="00B45671"/>
    <w:p w:rsidR="00B45671" w:rsidRDefault="00B45671" w:rsidP="008714B0"/>
  </w:endnote>
  <w:endnote w:type="continuationSeparator" w:id="0">
    <w:p w:rsidR="00B45671" w:rsidRDefault="00B45671" w:rsidP="00E54DBA">
      <w:r>
        <w:continuationSeparator/>
      </w:r>
    </w:p>
    <w:p w:rsidR="00B45671" w:rsidRDefault="00B45671"/>
    <w:p w:rsidR="00B45671" w:rsidRDefault="00B45671"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yriad Pro">
    <w:altName w:val="Myriad Pro"/>
    <w:panose1 w:val="020B0503030403020204"/>
    <w:charset w:val="00"/>
    <w:family w:val="swiss"/>
    <w:notTrueType/>
    <w:pitch w:val="variable"/>
    <w:sig w:usb0="20000287" w:usb1="00000001" w:usb2="00000000" w:usb3="00000000" w:csb0="0000019F" w:csb1="00000000"/>
  </w:font>
  <w:font w:name="Minion Pro SmBd">
    <w:panose1 w:val="02040603060306020203"/>
    <w:charset w:val="00"/>
    <w:family w:val="roman"/>
    <w:notTrueType/>
    <w:pitch w:val="variable"/>
    <w:sig w:usb0="60000287" w:usb1="00000001" w:usb2="00000000" w:usb3="00000000" w:csb0="0000019F" w:csb1="00000000"/>
  </w:font>
  <w:font w:name="Myriad Pro Cond">
    <w:altName w:val="Corbel"/>
    <w:panose1 w:val="020B0506030403020204"/>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3A96" w:rsidRPr="0042435E" w:rsidRDefault="004D3A96" w:rsidP="00252C9A">
    <w:pPr>
      <w:pStyle w:val="Footer"/>
      <w:pBdr>
        <w:top w:val="single" w:sz="2"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286B95">
      <w:rPr>
        <w:noProof/>
        <w:sz w:val="18"/>
      </w:rPr>
      <w:t>2</w:t>
    </w:r>
    <w:r w:rsidRPr="00BE6C3D">
      <w:rPr>
        <w:noProof/>
        <w:sz w:val="18"/>
      </w:rPr>
      <w:fldChar w:fldCharType="end"/>
    </w:r>
    <w:r>
      <w:rPr>
        <w:noProof/>
        <w:sz w:val="18"/>
      </w:rPr>
      <w:t xml:space="preserve"> of </w:t>
    </w:r>
    <w:r>
      <w:rPr>
        <w:noProof/>
        <w:sz w:val="18"/>
      </w:rPr>
      <w:fldChar w:fldCharType="begin"/>
    </w:r>
    <w:r>
      <w:rPr>
        <w:noProof/>
        <w:sz w:val="18"/>
      </w:rPr>
      <w:instrText xml:space="preserve"> NUMPAGES \* MERGEFORMAT </w:instrText>
    </w:r>
    <w:r>
      <w:rPr>
        <w:noProof/>
        <w:sz w:val="18"/>
      </w:rPr>
      <w:fldChar w:fldCharType="separate"/>
    </w:r>
    <w:r w:rsidR="00286B95">
      <w:rPr>
        <w:noProof/>
        <w:sz w:val="18"/>
      </w:rPr>
      <w:t>19</w:t>
    </w:r>
    <w:r>
      <w:rPr>
        <w:noProof/>
        <w:sz w:val="18"/>
      </w:rPr>
      <w:fldChar w:fldCharType="end"/>
    </w:r>
    <w:r>
      <w:rPr>
        <w:noProof/>
        <w:sz w:val="18"/>
      </w:rPr>
      <w:t xml:space="preserve"> </w:t>
    </w:r>
    <w:r w:rsidRPr="004315F5">
      <w:rPr>
        <w:sz w:val="18"/>
      </w:rPr>
      <w:t xml:space="preserve"> </w:t>
    </w:r>
    <w:r>
      <w:rPr>
        <w:noProof/>
        <w:sz w:val="18"/>
      </w:rPr>
      <w:ptab w:relativeTo="margin" w:alignment="center" w:leader="none"/>
    </w:r>
    <w:r w:rsidRPr="004315F5">
      <w:rPr>
        <w:sz w:val="18"/>
      </w:rPr>
      <w:t xml:space="preserve"> </w:t>
    </w:r>
    <w:proofErr w:type="spellStart"/>
    <w:r w:rsidRPr="00F458E5">
      <w:rPr>
        <w:i/>
        <w:sz w:val="18"/>
      </w:rPr>
      <w:t>Commun</w:t>
    </w:r>
    <w:proofErr w:type="spellEnd"/>
    <w:r w:rsidRPr="00F458E5">
      <w:rPr>
        <w:i/>
        <w:sz w:val="18"/>
      </w:rPr>
      <w:t xml:space="preserve"> Dis </w:t>
    </w:r>
    <w:proofErr w:type="spellStart"/>
    <w:r w:rsidRPr="00F458E5">
      <w:rPr>
        <w:i/>
        <w:sz w:val="18"/>
      </w:rPr>
      <w:t>Intell</w:t>
    </w:r>
    <w:proofErr w:type="spellEnd"/>
    <w:r w:rsidRPr="00F458E5">
      <w:rPr>
        <w:i/>
        <w:sz w:val="18"/>
      </w:rPr>
      <w:t xml:space="preserve"> (2018)</w:t>
    </w:r>
    <w:r>
      <w:rPr>
        <w:sz w:val="18"/>
      </w:rPr>
      <w:t xml:space="preserve"> </w:t>
    </w:r>
    <w:r>
      <w:rPr>
        <w:sz w:val="18"/>
      </w:rPr>
      <w:fldChar w:fldCharType="begin"/>
    </w:r>
    <w:r>
      <w:rPr>
        <w:sz w:val="18"/>
      </w:rPr>
      <w:instrText xml:space="preserve"> DOCPROPERTY  Year  \* MERGEFORMAT </w:instrText>
    </w:r>
    <w:r>
      <w:rPr>
        <w:sz w:val="18"/>
      </w:rPr>
      <w:fldChar w:fldCharType="separate"/>
    </w:r>
    <w:r w:rsidR="00067D24">
      <w:rPr>
        <w:sz w:val="18"/>
      </w:rPr>
      <w:t>2020</w:t>
    </w:r>
    <w:r>
      <w:rPr>
        <w:sz w:val="18"/>
      </w:rPr>
      <w:fldChar w:fldCharType="end"/>
    </w:r>
    <w:r>
      <w:rPr>
        <w:sz w:val="18"/>
      </w:rPr>
      <w:t xml:space="preserve"> </w:t>
    </w:r>
    <w:r>
      <w:rPr>
        <w:sz w:val="18"/>
      </w:rPr>
      <w:fldChar w:fldCharType="begin"/>
    </w:r>
    <w:r>
      <w:rPr>
        <w:sz w:val="18"/>
      </w:rPr>
      <w:instrText xml:space="preserve"> DOCPROPERTY  Vol  \* MERGEFORMAT </w:instrText>
    </w:r>
    <w:r>
      <w:rPr>
        <w:sz w:val="18"/>
      </w:rPr>
      <w:fldChar w:fldCharType="separate"/>
    </w:r>
    <w:r w:rsidR="00067D24">
      <w:rPr>
        <w:sz w:val="18"/>
      </w:rPr>
      <w:t>44</w:t>
    </w:r>
    <w:r>
      <w:rPr>
        <w:sz w:val="18"/>
      </w:rPr>
      <w:fldChar w:fldCharType="end"/>
    </w:r>
    <w:r>
      <w:rPr>
        <w:sz w:val="18"/>
      </w:rPr>
      <w:t xml:space="preserve"> </w:t>
    </w:r>
    <w:r>
      <w:rPr>
        <w:sz w:val="18"/>
      </w:rPr>
      <w:fldChar w:fldCharType="begin"/>
    </w:r>
    <w:r>
      <w:rPr>
        <w:sz w:val="18"/>
      </w:rPr>
      <w:instrText xml:space="preserve"> DOCPROPERTY  DOI  \* MERGEFORMAT </w:instrText>
    </w:r>
    <w:r>
      <w:rPr>
        <w:sz w:val="18"/>
      </w:rPr>
      <w:fldChar w:fldCharType="separate"/>
    </w:r>
    <w:r w:rsidR="003D3528">
      <w:rPr>
        <w:sz w:val="18"/>
      </w:rPr>
      <w:t>https://doi.org/10.33321/cdi.2020.44.4</w:t>
    </w:r>
    <w:r>
      <w:rPr>
        <w:sz w:val="18"/>
      </w:rPr>
      <w:fldChar w:fldCharType="end"/>
    </w:r>
    <w:r>
      <w:rPr>
        <w:sz w:val="18"/>
      </w:rPr>
      <w:t xml:space="preserve"> </w:t>
    </w:r>
    <w:proofErr w:type="spellStart"/>
    <w:r w:rsidRPr="00155582">
      <w:rPr>
        <w:sz w:val="18"/>
      </w:rPr>
      <w:t>Epub</w:t>
    </w:r>
    <w:proofErr w:type="spellEnd"/>
    <w:r>
      <w:rPr>
        <w:sz w:val="18"/>
      </w:rPr>
      <w:t xml:space="preserve"> </w:t>
    </w:r>
    <w:r>
      <w:rPr>
        <w:sz w:val="18"/>
      </w:rPr>
      <w:fldChar w:fldCharType="begin"/>
    </w:r>
    <w:r>
      <w:rPr>
        <w:sz w:val="18"/>
      </w:rPr>
      <w:instrText xml:space="preserve"> DOCPROPERTY  ePubDate  \* MERGEFORMAT </w:instrText>
    </w:r>
    <w:r>
      <w:rPr>
        <w:sz w:val="18"/>
      </w:rPr>
      <w:fldChar w:fldCharType="separate"/>
    </w:r>
    <w:r w:rsidR="009727C1">
      <w:rPr>
        <w:sz w:val="18"/>
      </w:rPr>
      <w:t>17/2/2020</w:t>
    </w:r>
    <w:r>
      <w:rPr>
        <w:sz w:val="18"/>
      </w:rPr>
      <w:fldChar w:fldCharType="end"/>
    </w:r>
    <w:r>
      <w:rPr>
        <w:sz w:val="18"/>
      </w:rPr>
      <w:ptab w:relativeTo="margin" w:alignment="right" w:leader="none"/>
    </w:r>
    <w:r w:rsidRPr="00155582">
      <w:rPr>
        <w:sz w:val="18"/>
      </w:rPr>
      <w:t>health.gov.au/cdi</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3A96" w:rsidRPr="00BB5378" w:rsidRDefault="004D3A96" w:rsidP="00E538CC">
    <w:pPr>
      <w:pStyle w:val="Footer"/>
      <w:pBdr>
        <w:top w:val="single" w:sz="4"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286B95">
      <w:rPr>
        <w:noProof/>
        <w:sz w:val="18"/>
      </w:rPr>
      <w:t>1</w:t>
    </w:r>
    <w:r w:rsidRPr="00BE6C3D">
      <w:rPr>
        <w:noProof/>
        <w:sz w:val="18"/>
      </w:rPr>
      <w:fldChar w:fldCharType="end"/>
    </w:r>
    <w:r>
      <w:rPr>
        <w:noProof/>
        <w:sz w:val="18"/>
      </w:rPr>
      <w:t xml:space="preserve"> of </w:t>
    </w:r>
    <w:r>
      <w:rPr>
        <w:noProof/>
        <w:sz w:val="18"/>
      </w:rPr>
      <w:fldChar w:fldCharType="begin"/>
    </w:r>
    <w:r>
      <w:rPr>
        <w:noProof/>
        <w:sz w:val="18"/>
      </w:rPr>
      <w:instrText xml:space="preserve"> NUMPAGES \* MERGEFORMAT </w:instrText>
    </w:r>
    <w:r>
      <w:rPr>
        <w:noProof/>
        <w:sz w:val="18"/>
      </w:rPr>
      <w:fldChar w:fldCharType="separate"/>
    </w:r>
    <w:r w:rsidR="00286B95">
      <w:rPr>
        <w:noProof/>
        <w:sz w:val="18"/>
      </w:rPr>
      <w:t>19</w:t>
    </w:r>
    <w:r>
      <w:rPr>
        <w:noProof/>
        <w:sz w:val="18"/>
      </w:rPr>
      <w:fldChar w:fldCharType="end"/>
    </w:r>
    <w:r>
      <w:rPr>
        <w:noProof/>
        <w:sz w:val="18"/>
      </w:rPr>
      <w:t xml:space="preserve"> </w:t>
    </w:r>
    <w:r>
      <w:rPr>
        <w:noProof/>
        <w:sz w:val="18"/>
      </w:rPr>
      <w:ptab w:relativeTo="margin" w:alignment="center" w:leader="none"/>
    </w:r>
    <w:r w:rsidRPr="004315F5">
      <w:rPr>
        <w:sz w:val="18"/>
      </w:rPr>
      <w:t xml:space="preserve"> </w:t>
    </w:r>
    <w:proofErr w:type="spellStart"/>
    <w:r w:rsidRPr="00F458E5">
      <w:rPr>
        <w:i/>
        <w:sz w:val="18"/>
      </w:rPr>
      <w:t>Commun</w:t>
    </w:r>
    <w:proofErr w:type="spellEnd"/>
    <w:r w:rsidRPr="00F458E5">
      <w:rPr>
        <w:i/>
        <w:sz w:val="18"/>
      </w:rPr>
      <w:t xml:space="preserve"> Dis </w:t>
    </w:r>
    <w:proofErr w:type="spellStart"/>
    <w:r w:rsidRPr="00F458E5">
      <w:rPr>
        <w:i/>
        <w:sz w:val="18"/>
      </w:rPr>
      <w:t>Intell</w:t>
    </w:r>
    <w:proofErr w:type="spellEnd"/>
    <w:r w:rsidRPr="00F458E5">
      <w:rPr>
        <w:i/>
        <w:sz w:val="18"/>
      </w:rPr>
      <w:t xml:space="preserve"> (2018)</w:t>
    </w:r>
    <w:r>
      <w:rPr>
        <w:sz w:val="18"/>
      </w:rPr>
      <w:t xml:space="preserve"> </w:t>
    </w:r>
    <w:r>
      <w:rPr>
        <w:sz w:val="18"/>
      </w:rPr>
      <w:fldChar w:fldCharType="begin"/>
    </w:r>
    <w:r>
      <w:rPr>
        <w:sz w:val="18"/>
      </w:rPr>
      <w:instrText xml:space="preserve"> DOCPROPERTY  Year  \* MERGEFORMAT </w:instrText>
    </w:r>
    <w:r>
      <w:rPr>
        <w:sz w:val="18"/>
      </w:rPr>
      <w:fldChar w:fldCharType="separate"/>
    </w:r>
    <w:r w:rsidR="00067D24">
      <w:rPr>
        <w:sz w:val="18"/>
      </w:rPr>
      <w:t>2020</w:t>
    </w:r>
    <w:r>
      <w:rPr>
        <w:sz w:val="18"/>
      </w:rPr>
      <w:fldChar w:fldCharType="end"/>
    </w:r>
    <w:r>
      <w:rPr>
        <w:sz w:val="18"/>
      </w:rPr>
      <w:t xml:space="preserve"> </w:t>
    </w:r>
    <w:r>
      <w:rPr>
        <w:sz w:val="18"/>
      </w:rPr>
      <w:fldChar w:fldCharType="begin"/>
    </w:r>
    <w:r>
      <w:rPr>
        <w:sz w:val="18"/>
      </w:rPr>
      <w:instrText xml:space="preserve"> DOCPROPERTY  Vol  \* MERGEFORMAT </w:instrText>
    </w:r>
    <w:r>
      <w:rPr>
        <w:sz w:val="18"/>
      </w:rPr>
      <w:fldChar w:fldCharType="separate"/>
    </w:r>
    <w:r w:rsidR="00067D24">
      <w:rPr>
        <w:sz w:val="18"/>
      </w:rPr>
      <w:t>44</w:t>
    </w:r>
    <w:r>
      <w:rPr>
        <w:sz w:val="18"/>
      </w:rPr>
      <w:fldChar w:fldCharType="end"/>
    </w:r>
    <w:r>
      <w:rPr>
        <w:sz w:val="18"/>
      </w:rPr>
      <w:t xml:space="preserve"> </w:t>
    </w:r>
    <w:r>
      <w:rPr>
        <w:sz w:val="18"/>
      </w:rPr>
      <w:fldChar w:fldCharType="begin"/>
    </w:r>
    <w:r>
      <w:rPr>
        <w:sz w:val="18"/>
      </w:rPr>
      <w:instrText xml:space="preserve"> DOCPROPERTY  DOI  \* MERGEFORMAT </w:instrText>
    </w:r>
    <w:r>
      <w:rPr>
        <w:sz w:val="18"/>
      </w:rPr>
      <w:fldChar w:fldCharType="separate"/>
    </w:r>
    <w:r w:rsidR="003D3528">
      <w:rPr>
        <w:sz w:val="18"/>
      </w:rPr>
      <w:t>https://doi.org/10.33321/cdi.2020.44.4</w:t>
    </w:r>
    <w:r>
      <w:rPr>
        <w:sz w:val="18"/>
      </w:rPr>
      <w:fldChar w:fldCharType="end"/>
    </w:r>
    <w:r>
      <w:rPr>
        <w:sz w:val="18"/>
      </w:rPr>
      <w:t xml:space="preserve"> </w:t>
    </w:r>
    <w:proofErr w:type="spellStart"/>
    <w:r w:rsidRPr="00155582">
      <w:rPr>
        <w:sz w:val="18"/>
      </w:rPr>
      <w:t>Epub</w:t>
    </w:r>
    <w:proofErr w:type="spellEnd"/>
    <w:r w:rsidRPr="00155582">
      <w:rPr>
        <w:sz w:val="18"/>
      </w:rPr>
      <w:t xml:space="preserve"> </w:t>
    </w:r>
    <w:r>
      <w:rPr>
        <w:sz w:val="18"/>
      </w:rPr>
      <w:fldChar w:fldCharType="begin"/>
    </w:r>
    <w:r>
      <w:rPr>
        <w:sz w:val="18"/>
      </w:rPr>
      <w:instrText xml:space="preserve"> DOCPROPERTY  ePubDate  \* MERGEFORMAT </w:instrText>
    </w:r>
    <w:r>
      <w:rPr>
        <w:sz w:val="18"/>
      </w:rPr>
      <w:fldChar w:fldCharType="separate"/>
    </w:r>
    <w:r w:rsidR="009727C1">
      <w:rPr>
        <w:sz w:val="18"/>
      </w:rPr>
      <w:t>17/2/2020</w:t>
    </w:r>
    <w:r>
      <w:rPr>
        <w:sz w:val="18"/>
      </w:rPr>
      <w:fldChar w:fldCharType="end"/>
    </w:r>
    <w:r>
      <w:rPr>
        <w:sz w:val="18"/>
      </w:rPr>
      <w:ptab w:relativeTo="margin" w:alignment="right" w:leader="none"/>
    </w:r>
    <w:r w:rsidRPr="00155582">
      <w:rPr>
        <w:sz w:val="18"/>
      </w:rPr>
      <w:t>health.gov.au/cdi</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5671" w:rsidRDefault="00B45671" w:rsidP="00E54DBA">
      <w:r>
        <w:separator/>
      </w:r>
    </w:p>
    <w:p w:rsidR="00B45671" w:rsidRDefault="00B45671"/>
    <w:p w:rsidR="00B45671" w:rsidRDefault="00B45671" w:rsidP="008714B0"/>
  </w:footnote>
  <w:footnote w:type="continuationSeparator" w:id="0">
    <w:p w:rsidR="00B45671" w:rsidRDefault="00B45671" w:rsidP="00E54DBA">
      <w:r>
        <w:continuationSeparator/>
      </w:r>
    </w:p>
    <w:p w:rsidR="00B45671" w:rsidRDefault="00B45671"/>
    <w:p w:rsidR="00B45671" w:rsidRDefault="00B45671" w:rsidP="008714B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3A96" w:rsidRPr="00A153B6" w:rsidRDefault="00286B95" w:rsidP="00A153B6">
    <w:pPr>
      <w:pStyle w:val="Header"/>
      <w:pBdr>
        <w:bottom w:val="single" w:sz="6" w:space="1" w:color="auto"/>
      </w:pBdr>
    </w:pPr>
    <w:sdt>
      <w:sdtPr>
        <w:alias w:val="Category"/>
        <w:tag w:val=""/>
        <w:id w:val="-862438058"/>
        <w:dataBinding w:prefixMappings="xmlns:ns0='http://purl.org/dc/elements/1.1/' xmlns:ns1='http://schemas.openxmlformats.org/package/2006/metadata/core-properties' " w:xpath="/ns1:coreProperties[1]/ns1:category[1]" w:storeItemID="{6C3C8BC8-F283-45AE-878A-BAB7291924A1}"/>
        <w:text/>
      </w:sdtPr>
      <w:sdtEndPr/>
      <w:sdtContent>
        <w:r w:rsidR="004D3A96">
          <w:t>Annual Report</w:t>
        </w:r>
      </w:sdtContent>
    </w:sdt>
    <w:r w:rsidR="004D3A96">
      <w:ptab w:relativeTo="margin" w:alignment="right" w:leader="none"/>
    </w:r>
    <w:r w:rsidR="004D3A96" w:rsidRPr="00BB5378">
      <w:t>Communicable Diseases Intelligence</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3A96" w:rsidRPr="000A5F42" w:rsidRDefault="004D3A96" w:rsidP="000A5F42">
    <w:pPr>
      <w:pStyle w:val="Header"/>
      <w:jc w:val="center"/>
      <w:rPr>
        <w:b/>
      </w:rPr>
    </w:pPr>
    <w:r w:rsidRPr="00E810C5">
      <w:rPr>
        <w:rFonts w:cs="Myriad Pro"/>
        <w:noProof/>
        <w:color w:val="211D1E"/>
        <w:sz w:val="16"/>
      </w:rPr>
      <w:drawing>
        <wp:inline distT="0" distB="0" distL="0" distR="0" wp14:anchorId="25D92371" wp14:editId="16317A33">
          <wp:extent cx="1804481" cy="436389"/>
          <wp:effectExtent l="0" t="0" r="5715" b="1905"/>
          <wp:docPr id="1" name="Picture 1" descr="Australian Government Department of Health" title="Australian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ustralian Government-inline-word.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2227" cy="45277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6C734C"/>
    <w:multiLevelType w:val="hybridMultilevel"/>
    <w:tmpl w:val="58564AD4"/>
    <w:lvl w:ilvl="0" w:tplc="41A4A966">
      <w:numFmt w:val="bullet"/>
      <w:lvlText w:val=""/>
      <w:lvlJc w:val="left"/>
      <w:pPr>
        <w:ind w:left="720" w:hanging="360"/>
      </w:pPr>
      <w:rPr>
        <w:rFonts w:ascii="Symbol" w:eastAsia="Times New Roman"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07E4CE4"/>
    <w:multiLevelType w:val="multilevel"/>
    <w:tmpl w:val="0550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62F04BA"/>
    <w:multiLevelType w:val="hybridMultilevel"/>
    <w:tmpl w:val="069024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282304C"/>
    <w:multiLevelType w:val="hybridMultilevel"/>
    <w:tmpl w:val="19729C1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46A6245C"/>
    <w:multiLevelType w:val="hybridMultilevel"/>
    <w:tmpl w:val="A15CD27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71D582C"/>
    <w:multiLevelType w:val="hybridMultilevel"/>
    <w:tmpl w:val="B3788E6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62756352"/>
    <w:multiLevelType w:val="multilevel"/>
    <w:tmpl w:val="F78682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9FC45B7"/>
    <w:multiLevelType w:val="multilevel"/>
    <w:tmpl w:val="6528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DC43C3F"/>
    <w:multiLevelType w:val="hybridMultilevel"/>
    <w:tmpl w:val="DB167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1E06BEE"/>
    <w:multiLevelType w:val="hybridMultilevel"/>
    <w:tmpl w:val="9D7E7C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5"/>
  </w:num>
  <w:num w:numId="4">
    <w:abstractNumId w:val="1"/>
  </w:num>
  <w:num w:numId="5">
    <w:abstractNumId w:val="7"/>
  </w:num>
  <w:num w:numId="6">
    <w:abstractNumId w:val="8"/>
  </w:num>
  <w:num w:numId="7">
    <w:abstractNumId w:val="6"/>
  </w:num>
  <w:num w:numId="8">
    <w:abstractNumId w:val="9"/>
  </w:num>
  <w:num w:numId="9">
    <w:abstractNumId w:val="0"/>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proofState w:spelling="clean" w:grammar="clean"/>
  <w:attachedTemplate r:id="rId1"/>
  <w:defaultTabStop w:val="720"/>
  <w:noPunctuationKerning/>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1FD9"/>
    <w:rsid w:val="00000B5B"/>
    <w:rsid w:val="00001611"/>
    <w:rsid w:val="00003685"/>
    <w:rsid w:val="000104A8"/>
    <w:rsid w:val="0001246E"/>
    <w:rsid w:val="000124B1"/>
    <w:rsid w:val="00014004"/>
    <w:rsid w:val="0001665E"/>
    <w:rsid w:val="00016FE6"/>
    <w:rsid w:val="00023EA4"/>
    <w:rsid w:val="00031064"/>
    <w:rsid w:val="00031692"/>
    <w:rsid w:val="00032531"/>
    <w:rsid w:val="000348B5"/>
    <w:rsid w:val="00042520"/>
    <w:rsid w:val="000471BF"/>
    <w:rsid w:val="00047B68"/>
    <w:rsid w:val="00052600"/>
    <w:rsid w:val="0005643C"/>
    <w:rsid w:val="00056CB0"/>
    <w:rsid w:val="00057079"/>
    <w:rsid w:val="0006264A"/>
    <w:rsid w:val="00067D24"/>
    <w:rsid w:val="00073D77"/>
    <w:rsid w:val="00081655"/>
    <w:rsid w:val="000864E0"/>
    <w:rsid w:val="000969B3"/>
    <w:rsid w:val="000A5F42"/>
    <w:rsid w:val="000B312A"/>
    <w:rsid w:val="000C0223"/>
    <w:rsid w:val="000C4002"/>
    <w:rsid w:val="000D4B4D"/>
    <w:rsid w:val="00113D58"/>
    <w:rsid w:val="001378A3"/>
    <w:rsid w:val="00145041"/>
    <w:rsid w:val="00155582"/>
    <w:rsid w:val="00161590"/>
    <w:rsid w:val="00171CC0"/>
    <w:rsid w:val="00175494"/>
    <w:rsid w:val="00175629"/>
    <w:rsid w:val="00175949"/>
    <w:rsid w:val="001830EC"/>
    <w:rsid w:val="00183534"/>
    <w:rsid w:val="001A4A96"/>
    <w:rsid w:val="001A5058"/>
    <w:rsid w:val="001A5D05"/>
    <w:rsid w:val="001A796C"/>
    <w:rsid w:val="001B2614"/>
    <w:rsid w:val="001B37B8"/>
    <w:rsid w:val="001B552F"/>
    <w:rsid w:val="001C0893"/>
    <w:rsid w:val="001C1303"/>
    <w:rsid w:val="001C70B2"/>
    <w:rsid w:val="001D2286"/>
    <w:rsid w:val="001D37C7"/>
    <w:rsid w:val="001D6888"/>
    <w:rsid w:val="00213205"/>
    <w:rsid w:val="002276DC"/>
    <w:rsid w:val="00227E00"/>
    <w:rsid w:val="002307CB"/>
    <w:rsid w:val="00231046"/>
    <w:rsid w:val="00234F21"/>
    <w:rsid w:val="00242659"/>
    <w:rsid w:val="002428F7"/>
    <w:rsid w:val="0024315F"/>
    <w:rsid w:val="00251EC4"/>
    <w:rsid w:val="00252C9A"/>
    <w:rsid w:val="00256309"/>
    <w:rsid w:val="00256973"/>
    <w:rsid w:val="00257484"/>
    <w:rsid w:val="00260636"/>
    <w:rsid w:val="00260A7D"/>
    <w:rsid w:val="00275C78"/>
    <w:rsid w:val="00280594"/>
    <w:rsid w:val="00281EE3"/>
    <w:rsid w:val="00284E4A"/>
    <w:rsid w:val="00286611"/>
    <w:rsid w:val="00286B95"/>
    <w:rsid w:val="0028753C"/>
    <w:rsid w:val="00292A25"/>
    <w:rsid w:val="002A3799"/>
    <w:rsid w:val="002A3BCC"/>
    <w:rsid w:val="002A4516"/>
    <w:rsid w:val="002A569F"/>
    <w:rsid w:val="002A7066"/>
    <w:rsid w:val="002B001E"/>
    <w:rsid w:val="002B0432"/>
    <w:rsid w:val="002B09B7"/>
    <w:rsid w:val="002B75A9"/>
    <w:rsid w:val="002C21B0"/>
    <w:rsid w:val="002C46EE"/>
    <w:rsid w:val="002D5458"/>
    <w:rsid w:val="002E2FB3"/>
    <w:rsid w:val="002E59AB"/>
    <w:rsid w:val="002F327B"/>
    <w:rsid w:val="00301626"/>
    <w:rsid w:val="003059EC"/>
    <w:rsid w:val="00316CCD"/>
    <w:rsid w:val="00324F7E"/>
    <w:rsid w:val="003323BC"/>
    <w:rsid w:val="00333882"/>
    <w:rsid w:val="00346D42"/>
    <w:rsid w:val="00346E11"/>
    <w:rsid w:val="00355749"/>
    <w:rsid w:val="003601C0"/>
    <w:rsid w:val="003635F5"/>
    <w:rsid w:val="00372A88"/>
    <w:rsid w:val="00374FB5"/>
    <w:rsid w:val="00381A0F"/>
    <w:rsid w:val="003A1B3A"/>
    <w:rsid w:val="003A33D2"/>
    <w:rsid w:val="003A40F5"/>
    <w:rsid w:val="003A557D"/>
    <w:rsid w:val="003A651B"/>
    <w:rsid w:val="003B5B8C"/>
    <w:rsid w:val="003D3528"/>
    <w:rsid w:val="003D79B1"/>
    <w:rsid w:val="003E74EE"/>
    <w:rsid w:val="003F0552"/>
    <w:rsid w:val="003F3BC2"/>
    <w:rsid w:val="004010A6"/>
    <w:rsid w:val="00401ED1"/>
    <w:rsid w:val="0040224C"/>
    <w:rsid w:val="00413EE1"/>
    <w:rsid w:val="004164BB"/>
    <w:rsid w:val="00421ECE"/>
    <w:rsid w:val="00422FEB"/>
    <w:rsid w:val="0042435E"/>
    <w:rsid w:val="004315F5"/>
    <w:rsid w:val="00433456"/>
    <w:rsid w:val="00433DFA"/>
    <w:rsid w:val="00435D67"/>
    <w:rsid w:val="004648FC"/>
    <w:rsid w:val="00464A58"/>
    <w:rsid w:val="00471FD9"/>
    <w:rsid w:val="00473D2D"/>
    <w:rsid w:val="004A2125"/>
    <w:rsid w:val="004A38F6"/>
    <w:rsid w:val="004A5252"/>
    <w:rsid w:val="004B4745"/>
    <w:rsid w:val="004B4EB6"/>
    <w:rsid w:val="004C083C"/>
    <w:rsid w:val="004C1FD0"/>
    <w:rsid w:val="004C39DB"/>
    <w:rsid w:val="004C67C6"/>
    <w:rsid w:val="004D0FBF"/>
    <w:rsid w:val="004D29DE"/>
    <w:rsid w:val="004D2FF3"/>
    <w:rsid w:val="004D3A96"/>
    <w:rsid w:val="005019C5"/>
    <w:rsid w:val="00510EAC"/>
    <w:rsid w:val="00517B1A"/>
    <w:rsid w:val="00542A57"/>
    <w:rsid w:val="00566F58"/>
    <w:rsid w:val="00566FB3"/>
    <w:rsid w:val="005714CF"/>
    <w:rsid w:val="005732C0"/>
    <w:rsid w:val="0057336D"/>
    <w:rsid w:val="0057489A"/>
    <w:rsid w:val="00574ACF"/>
    <w:rsid w:val="00581588"/>
    <w:rsid w:val="0058540B"/>
    <w:rsid w:val="00587C87"/>
    <w:rsid w:val="00590B80"/>
    <w:rsid w:val="005B3134"/>
    <w:rsid w:val="005B4E61"/>
    <w:rsid w:val="005B595A"/>
    <w:rsid w:val="005B66C2"/>
    <w:rsid w:val="005C4A45"/>
    <w:rsid w:val="005D2465"/>
    <w:rsid w:val="005D7AF7"/>
    <w:rsid w:val="005E4229"/>
    <w:rsid w:val="005E540E"/>
    <w:rsid w:val="005E55FB"/>
    <w:rsid w:val="005F16BB"/>
    <w:rsid w:val="005F3DC6"/>
    <w:rsid w:val="00603559"/>
    <w:rsid w:val="00607115"/>
    <w:rsid w:val="00620768"/>
    <w:rsid w:val="0062594B"/>
    <w:rsid w:val="00631406"/>
    <w:rsid w:val="006324FF"/>
    <w:rsid w:val="006351D6"/>
    <w:rsid w:val="00636E0D"/>
    <w:rsid w:val="0064142F"/>
    <w:rsid w:val="00643CB4"/>
    <w:rsid w:val="00654E41"/>
    <w:rsid w:val="00656427"/>
    <w:rsid w:val="00660255"/>
    <w:rsid w:val="0069183C"/>
    <w:rsid w:val="006971F3"/>
    <w:rsid w:val="006B07A9"/>
    <w:rsid w:val="006C578C"/>
    <w:rsid w:val="006C74A3"/>
    <w:rsid w:val="006D1381"/>
    <w:rsid w:val="006D31BC"/>
    <w:rsid w:val="006D53C7"/>
    <w:rsid w:val="006E30C9"/>
    <w:rsid w:val="006E3E2E"/>
    <w:rsid w:val="006E7943"/>
    <w:rsid w:val="006F24EA"/>
    <w:rsid w:val="00704CA9"/>
    <w:rsid w:val="0071048D"/>
    <w:rsid w:val="00710F86"/>
    <w:rsid w:val="007111A8"/>
    <w:rsid w:val="00731BC3"/>
    <w:rsid w:val="00741192"/>
    <w:rsid w:val="00743A33"/>
    <w:rsid w:val="00743AB9"/>
    <w:rsid w:val="00746080"/>
    <w:rsid w:val="0075144A"/>
    <w:rsid w:val="00760400"/>
    <w:rsid w:val="00786329"/>
    <w:rsid w:val="00792C7D"/>
    <w:rsid w:val="00794A4D"/>
    <w:rsid w:val="007A5234"/>
    <w:rsid w:val="007B7854"/>
    <w:rsid w:val="007C56A1"/>
    <w:rsid w:val="007C6454"/>
    <w:rsid w:val="007E01E0"/>
    <w:rsid w:val="007F0B93"/>
    <w:rsid w:val="007F2ECA"/>
    <w:rsid w:val="00805944"/>
    <w:rsid w:val="00805F89"/>
    <w:rsid w:val="008078EA"/>
    <w:rsid w:val="00811708"/>
    <w:rsid w:val="00815F8A"/>
    <w:rsid w:val="00816B90"/>
    <w:rsid w:val="00817799"/>
    <w:rsid w:val="00822F5F"/>
    <w:rsid w:val="00824FD3"/>
    <w:rsid w:val="00826589"/>
    <w:rsid w:val="008275DA"/>
    <w:rsid w:val="00834BCC"/>
    <w:rsid w:val="00850D54"/>
    <w:rsid w:val="008714B0"/>
    <w:rsid w:val="00873049"/>
    <w:rsid w:val="00876331"/>
    <w:rsid w:val="00880726"/>
    <w:rsid w:val="0088304B"/>
    <w:rsid w:val="00897DD8"/>
    <w:rsid w:val="008A3544"/>
    <w:rsid w:val="008B48B8"/>
    <w:rsid w:val="008B5348"/>
    <w:rsid w:val="008B58F8"/>
    <w:rsid w:val="008C0712"/>
    <w:rsid w:val="008C4520"/>
    <w:rsid w:val="008C5F09"/>
    <w:rsid w:val="008D07A4"/>
    <w:rsid w:val="008D470F"/>
    <w:rsid w:val="008E13C0"/>
    <w:rsid w:val="008E1F8F"/>
    <w:rsid w:val="008E4768"/>
    <w:rsid w:val="008E761E"/>
    <w:rsid w:val="008F77B3"/>
    <w:rsid w:val="009008F5"/>
    <w:rsid w:val="00904CC1"/>
    <w:rsid w:val="00905077"/>
    <w:rsid w:val="009066AF"/>
    <w:rsid w:val="00912050"/>
    <w:rsid w:val="00912E48"/>
    <w:rsid w:val="0092746F"/>
    <w:rsid w:val="00935DC9"/>
    <w:rsid w:val="009372FB"/>
    <w:rsid w:val="009446C0"/>
    <w:rsid w:val="00956B34"/>
    <w:rsid w:val="0096082E"/>
    <w:rsid w:val="00961347"/>
    <w:rsid w:val="00961EF8"/>
    <w:rsid w:val="00967410"/>
    <w:rsid w:val="00967D73"/>
    <w:rsid w:val="009727C1"/>
    <w:rsid w:val="0098119A"/>
    <w:rsid w:val="00984AAF"/>
    <w:rsid w:val="00991B09"/>
    <w:rsid w:val="00993CB2"/>
    <w:rsid w:val="009A06BA"/>
    <w:rsid w:val="009A5166"/>
    <w:rsid w:val="009A76F8"/>
    <w:rsid w:val="009B1B7B"/>
    <w:rsid w:val="009B2B83"/>
    <w:rsid w:val="009C49F8"/>
    <w:rsid w:val="009D350D"/>
    <w:rsid w:val="009D77CC"/>
    <w:rsid w:val="009E2423"/>
    <w:rsid w:val="009E55D7"/>
    <w:rsid w:val="009F003A"/>
    <w:rsid w:val="009F4150"/>
    <w:rsid w:val="009F5665"/>
    <w:rsid w:val="009F5DAD"/>
    <w:rsid w:val="00A01BCA"/>
    <w:rsid w:val="00A03D99"/>
    <w:rsid w:val="00A0475E"/>
    <w:rsid w:val="00A10458"/>
    <w:rsid w:val="00A153B6"/>
    <w:rsid w:val="00A164D5"/>
    <w:rsid w:val="00A26646"/>
    <w:rsid w:val="00A273C3"/>
    <w:rsid w:val="00A30C37"/>
    <w:rsid w:val="00A36C65"/>
    <w:rsid w:val="00A41BBE"/>
    <w:rsid w:val="00A45BDD"/>
    <w:rsid w:val="00A46A0A"/>
    <w:rsid w:val="00A553F8"/>
    <w:rsid w:val="00A6708F"/>
    <w:rsid w:val="00A71BF6"/>
    <w:rsid w:val="00A85A41"/>
    <w:rsid w:val="00A86F9A"/>
    <w:rsid w:val="00AA35E6"/>
    <w:rsid w:val="00AA50B6"/>
    <w:rsid w:val="00AB3472"/>
    <w:rsid w:val="00AB5148"/>
    <w:rsid w:val="00AC050A"/>
    <w:rsid w:val="00AC2896"/>
    <w:rsid w:val="00AC6C13"/>
    <w:rsid w:val="00AD0762"/>
    <w:rsid w:val="00AE4452"/>
    <w:rsid w:val="00AE7C38"/>
    <w:rsid w:val="00AF134B"/>
    <w:rsid w:val="00B01F99"/>
    <w:rsid w:val="00B02B37"/>
    <w:rsid w:val="00B05276"/>
    <w:rsid w:val="00B05E9E"/>
    <w:rsid w:val="00B132DB"/>
    <w:rsid w:val="00B31427"/>
    <w:rsid w:val="00B33861"/>
    <w:rsid w:val="00B40DE2"/>
    <w:rsid w:val="00B45671"/>
    <w:rsid w:val="00B50210"/>
    <w:rsid w:val="00B53955"/>
    <w:rsid w:val="00B6408A"/>
    <w:rsid w:val="00B714B8"/>
    <w:rsid w:val="00B82C2C"/>
    <w:rsid w:val="00B83826"/>
    <w:rsid w:val="00B8720B"/>
    <w:rsid w:val="00B876EF"/>
    <w:rsid w:val="00BA4697"/>
    <w:rsid w:val="00BB5378"/>
    <w:rsid w:val="00BC0BD3"/>
    <w:rsid w:val="00BD0107"/>
    <w:rsid w:val="00BD5DB6"/>
    <w:rsid w:val="00BE0C33"/>
    <w:rsid w:val="00BE262C"/>
    <w:rsid w:val="00BE2AE0"/>
    <w:rsid w:val="00BE6C3D"/>
    <w:rsid w:val="00BF6FD0"/>
    <w:rsid w:val="00C07606"/>
    <w:rsid w:val="00C12542"/>
    <w:rsid w:val="00C24725"/>
    <w:rsid w:val="00C30BA9"/>
    <w:rsid w:val="00C3541E"/>
    <w:rsid w:val="00C36A8F"/>
    <w:rsid w:val="00C42FFA"/>
    <w:rsid w:val="00C45192"/>
    <w:rsid w:val="00C507D8"/>
    <w:rsid w:val="00C6036A"/>
    <w:rsid w:val="00C61158"/>
    <w:rsid w:val="00C62266"/>
    <w:rsid w:val="00C62EAC"/>
    <w:rsid w:val="00C63F9F"/>
    <w:rsid w:val="00C7723C"/>
    <w:rsid w:val="00C838F5"/>
    <w:rsid w:val="00C9280D"/>
    <w:rsid w:val="00CA1AF4"/>
    <w:rsid w:val="00CA6068"/>
    <w:rsid w:val="00CB0651"/>
    <w:rsid w:val="00CB15E1"/>
    <w:rsid w:val="00CB3D46"/>
    <w:rsid w:val="00CC0BCB"/>
    <w:rsid w:val="00CD1A87"/>
    <w:rsid w:val="00CD35F3"/>
    <w:rsid w:val="00CD58BB"/>
    <w:rsid w:val="00CD5C93"/>
    <w:rsid w:val="00CE342B"/>
    <w:rsid w:val="00CF16B7"/>
    <w:rsid w:val="00CF320C"/>
    <w:rsid w:val="00CF3A4B"/>
    <w:rsid w:val="00CF4001"/>
    <w:rsid w:val="00D05837"/>
    <w:rsid w:val="00D12D8A"/>
    <w:rsid w:val="00D13E0C"/>
    <w:rsid w:val="00D20AF6"/>
    <w:rsid w:val="00D25896"/>
    <w:rsid w:val="00D35986"/>
    <w:rsid w:val="00D373A1"/>
    <w:rsid w:val="00D37C0F"/>
    <w:rsid w:val="00D45661"/>
    <w:rsid w:val="00D45943"/>
    <w:rsid w:val="00D47D22"/>
    <w:rsid w:val="00D51865"/>
    <w:rsid w:val="00D51D0C"/>
    <w:rsid w:val="00D64839"/>
    <w:rsid w:val="00D74140"/>
    <w:rsid w:val="00D846B4"/>
    <w:rsid w:val="00D875E1"/>
    <w:rsid w:val="00DA6E56"/>
    <w:rsid w:val="00DC16A1"/>
    <w:rsid w:val="00DC6705"/>
    <w:rsid w:val="00DD14CB"/>
    <w:rsid w:val="00DD2DE8"/>
    <w:rsid w:val="00DE38B4"/>
    <w:rsid w:val="00DE3DB9"/>
    <w:rsid w:val="00DE5D02"/>
    <w:rsid w:val="00DF0390"/>
    <w:rsid w:val="00E005A9"/>
    <w:rsid w:val="00E03B42"/>
    <w:rsid w:val="00E1166E"/>
    <w:rsid w:val="00E24DC0"/>
    <w:rsid w:val="00E2519C"/>
    <w:rsid w:val="00E25F2A"/>
    <w:rsid w:val="00E41455"/>
    <w:rsid w:val="00E42AD2"/>
    <w:rsid w:val="00E45C2C"/>
    <w:rsid w:val="00E50856"/>
    <w:rsid w:val="00E538CC"/>
    <w:rsid w:val="00E54DBA"/>
    <w:rsid w:val="00E63D7C"/>
    <w:rsid w:val="00E640D5"/>
    <w:rsid w:val="00E6604C"/>
    <w:rsid w:val="00E67691"/>
    <w:rsid w:val="00E87D00"/>
    <w:rsid w:val="00E92237"/>
    <w:rsid w:val="00E92795"/>
    <w:rsid w:val="00E951EF"/>
    <w:rsid w:val="00E9555D"/>
    <w:rsid w:val="00EA3D54"/>
    <w:rsid w:val="00EA56D9"/>
    <w:rsid w:val="00EA5CE3"/>
    <w:rsid w:val="00EB18D4"/>
    <w:rsid w:val="00EB513E"/>
    <w:rsid w:val="00EB51C1"/>
    <w:rsid w:val="00EB5AE1"/>
    <w:rsid w:val="00EB5E0B"/>
    <w:rsid w:val="00EC2171"/>
    <w:rsid w:val="00EC3513"/>
    <w:rsid w:val="00ED442D"/>
    <w:rsid w:val="00ED70C2"/>
    <w:rsid w:val="00EE18FF"/>
    <w:rsid w:val="00EE489F"/>
    <w:rsid w:val="00EF09B8"/>
    <w:rsid w:val="00F0647F"/>
    <w:rsid w:val="00F10CE3"/>
    <w:rsid w:val="00F14F3B"/>
    <w:rsid w:val="00F16362"/>
    <w:rsid w:val="00F207C7"/>
    <w:rsid w:val="00F36B6D"/>
    <w:rsid w:val="00F43FA3"/>
    <w:rsid w:val="00F458E5"/>
    <w:rsid w:val="00F463CF"/>
    <w:rsid w:val="00F55648"/>
    <w:rsid w:val="00F70046"/>
    <w:rsid w:val="00F748C2"/>
    <w:rsid w:val="00F75FB7"/>
    <w:rsid w:val="00F76C5C"/>
    <w:rsid w:val="00F81EF3"/>
    <w:rsid w:val="00F84496"/>
    <w:rsid w:val="00F85DCB"/>
    <w:rsid w:val="00F86F9C"/>
    <w:rsid w:val="00FC002E"/>
    <w:rsid w:val="00FC33AF"/>
    <w:rsid w:val="00FC3C3B"/>
    <w:rsid w:val="00FC4C23"/>
    <w:rsid w:val="00FC642E"/>
    <w:rsid w:val="00FE2AE4"/>
    <w:rsid w:val="00FE689F"/>
    <w:rsid w:val="00FE7809"/>
    <w:rsid w:val="00FF408B"/>
    <w:rsid w:val="00FF592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docId w15:val="{5F357C78-0C3A-4AD7-8E05-A275C5990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1192"/>
  </w:style>
  <w:style w:type="paragraph" w:styleId="Heading1">
    <w:name w:val="heading 1"/>
    <w:basedOn w:val="Normal"/>
    <w:next w:val="Normal"/>
    <w:link w:val="Heading1Char"/>
    <w:uiPriority w:val="9"/>
    <w:qFormat/>
    <w:rsid w:val="00DD2DE8"/>
    <w:pPr>
      <w:spacing w:before="480" w:after="240"/>
      <w:contextualSpacing/>
      <w:outlineLvl w:val="0"/>
    </w:pPr>
    <w:rPr>
      <w:rFonts w:asciiTheme="majorHAnsi" w:eastAsiaTheme="majorEastAsia" w:hAnsiTheme="majorHAnsi" w:cstheme="majorBidi"/>
      <w:b/>
      <w:bCs/>
      <w:sz w:val="32"/>
      <w:szCs w:val="28"/>
    </w:rPr>
  </w:style>
  <w:style w:type="paragraph" w:styleId="Heading2">
    <w:name w:val="heading 2"/>
    <w:basedOn w:val="Normal"/>
    <w:next w:val="Normal"/>
    <w:link w:val="Heading2Char"/>
    <w:uiPriority w:val="9"/>
    <w:unhideWhenUsed/>
    <w:qFormat/>
    <w:rsid w:val="00741192"/>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741192"/>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741192"/>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741192"/>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741192"/>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41192"/>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2DE8"/>
    <w:rPr>
      <w:rFonts w:asciiTheme="majorHAnsi" w:eastAsiaTheme="majorEastAsia" w:hAnsiTheme="majorHAnsi" w:cstheme="majorBidi"/>
      <w:b/>
      <w:bCs/>
      <w:sz w:val="32"/>
      <w:szCs w:val="28"/>
    </w:rPr>
  </w:style>
  <w:style w:type="paragraph" w:styleId="NormalWeb">
    <w:name w:val="Normal (Web)"/>
    <w:basedOn w:val="Normal"/>
    <w:link w:val="NormalWebChar"/>
    <w:uiPriority w:val="99"/>
    <w:unhideWhenUsed/>
    <w:pPr>
      <w:spacing w:before="100" w:beforeAutospacing="1" w:after="100" w:afterAutospacing="1"/>
    </w:pPr>
  </w:style>
  <w:style w:type="character" w:styleId="Strong">
    <w:name w:val="Strong"/>
    <w:uiPriority w:val="22"/>
    <w:qFormat/>
    <w:rsid w:val="00741192"/>
    <w:rPr>
      <w:b/>
      <w:bCs/>
    </w:rPr>
  </w:style>
  <w:style w:type="character" w:customStyle="1" w:styleId="Heading2Char">
    <w:name w:val="Heading 2 Char"/>
    <w:basedOn w:val="DefaultParagraphFont"/>
    <w:link w:val="Heading2"/>
    <w:uiPriority w:val="9"/>
    <w:rsid w:val="00741192"/>
    <w:rPr>
      <w:rFonts w:asciiTheme="majorHAnsi" w:eastAsiaTheme="majorEastAsia" w:hAnsiTheme="majorHAnsi" w:cstheme="majorBidi"/>
      <w:b/>
      <w:bCs/>
      <w:sz w:val="26"/>
      <w:szCs w:val="26"/>
    </w:rPr>
  </w:style>
  <w:style w:type="character" w:styleId="Emphasis">
    <w:name w:val="Emphasis"/>
    <w:uiPriority w:val="20"/>
    <w:qFormat/>
    <w:rsid w:val="00741192"/>
    <w:rPr>
      <w:b/>
      <w:bCs/>
      <w:i/>
      <w:iCs/>
      <w:spacing w:val="10"/>
      <w:bdr w:val="none" w:sz="0" w:space="0" w:color="auto"/>
      <w:shd w:val="clear" w:color="auto" w:fill="auto"/>
    </w:rPr>
  </w:style>
  <w:style w:type="paragraph" w:customStyle="1" w:styleId="table-text">
    <w:name w:val="table-text"/>
    <w:basedOn w:val="Normal"/>
    <w:rsid w:val="00822F5F"/>
    <w:rPr>
      <w:rFonts w:ascii="Myriad Pro" w:hAnsi="Myriad Pro"/>
      <w:color w:val="231F20"/>
      <w:sz w:val="14"/>
      <w:szCs w:val="14"/>
    </w:rPr>
  </w:style>
  <w:style w:type="paragraph" w:customStyle="1" w:styleId="table-h1">
    <w:name w:val="table-h1"/>
    <w:basedOn w:val="Normal"/>
    <w:rsid w:val="00822F5F"/>
    <w:rPr>
      <w:rFonts w:ascii="Myriad Pro" w:hAnsi="Myriad Pro"/>
      <w:b/>
      <w:bCs/>
      <w:color w:val="FFFFFF"/>
      <w:sz w:val="14"/>
      <w:szCs w:val="14"/>
    </w:rPr>
  </w:style>
  <w:style w:type="character" w:customStyle="1" w:styleId="Strong1">
    <w:name w:val="Strong1"/>
    <w:basedOn w:val="DefaultParagraphFont"/>
    <w:rsid w:val="00822F5F"/>
    <w:rPr>
      <w:b/>
      <w:bCs/>
      <w:i w:val="0"/>
      <w:iCs w:val="0"/>
    </w:rPr>
  </w:style>
  <w:style w:type="character" w:customStyle="1" w:styleId="superscript">
    <w:name w:val="superscript"/>
    <w:basedOn w:val="DefaultParagraphFont"/>
    <w:rsid w:val="00822F5F"/>
    <w:rPr>
      <w:vertAlign w:val="superscript"/>
    </w:rPr>
  </w:style>
  <w:style w:type="paragraph" w:customStyle="1" w:styleId="footnote">
    <w:name w:val="footnote"/>
    <w:basedOn w:val="Normal"/>
    <w:rsid w:val="008B48B8"/>
    <w:rPr>
      <w:rFonts w:ascii="Myriad Pro" w:hAnsi="Myriad Pro"/>
      <w:color w:val="231F20"/>
      <w:sz w:val="12"/>
      <w:szCs w:val="12"/>
    </w:rPr>
  </w:style>
  <w:style w:type="paragraph" w:customStyle="1" w:styleId="figure-table-title">
    <w:name w:val="figure-table-title"/>
    <w:basedOn w:val="Normal"/>
    <w:rsid w:val="008B48B8"/>
    <w:pPr>
      <w:spacing w:after="180"/>
    </w:pPr>
    <w:rPr>
      <w:rFonts w:ascii="Minion Pro SmBd" w:hAnsi="Minion Pro SmBd"/>
      <w:b/>
      <w:bCs/>
      <w:color w:val="231F20"/>
      <w:sz w:val="18"/>
      <w:szCs w:val="18"/>
    </w:rPr>
  </w:style>
  <w:style w:type="paragraph" w:styleId="ListParagraph">
    <w:name w:val="List Paragraph"/>
    <w:basedOn w:val="Normal"/>
    <w:uiPriority w:val="34"/>
    <w:qFormat/>
    <w:rsid w:val="00741192"/>
    <w:pPr>
      <w:ind w:left="720"/>
      <w:contextualSpacing/>
    </w:pPr>
  </w:style>
  <w:style w:type="paragraph" w:styleId="Header">
    <w:name w:val="header"/>
    <w:basedOn w:val="Normal"/>
    <w:link w:val="HeaderChar"/>
    <w:uiPriority w:val="99"/>
    <w:unhideWhenUsed/>
    <w:rsid w:val="00E54DBA"/>
    <w:pPr>
      <w:tabs>
        <w:tab w:val="center" w:pos="4513"/>
        <w:tab w:val="right" w:pos="9026"/>
      </w:tabs>
    </w:pPr>
  </w:style>
  <w:style w:type="character" w:customStyle="1" w:styleId="HeaderChar">
    <w:name w:val="Header Char"/>
    <w:basedOn w:val="DefaultParagraphFont"/>
    <w:link w:val="Header"/>
    <w:uiPriority w:val="99"/>
    <w:rsid w:val="00E54DBA"/>
    <w:rPr>
      <w:rFonts w:eastAsiaTheme="minorEastAsia"/>
      <w:sz w:val="24"/>
      <w:szCs w:val="24"/>
    </w:rPr>
  </w:style>
  <w:style w:type="paragraph" w:styleId="Footer">
    <w:name w:val="footer"/>
    <w:basedOn w:val="Normal"/>
    <w:link w:val="FooterChar"/>
    <w:uiPriority w:val="99"/>
    <w:unhideWhenUsed/>
    <w:rsid w:val="00E54DBA"/>
    <w:pPr>
      <w:tabs>
        <w:tab w:val="center" w:pos="4513"/>
        <w:tab w:val="right" w:pos="9026"/>
      </w:tabs>
    </w:pPr>
  </w:style>
  <w:style w:type="character" w:customStyle="1" w:styleId="FooterChar">
    <w:name w:val="Footer Char"/>
    <w:basedOn w:val="DefaultParagraphFont"/>
    <w:link w:val="Footer"/>
    <w:uiPriority w:val="99"/>
    <w:rsid w:val="00E54DBA"/>
    <w:rPr>
      <w:rFonts w:eastAsiaTheme="minorEastAsia"/>
      <w:sz w:val="24"/>
      <w:szCs w:val="24"/>
    </w:rPr>
  </w:style>
  <w:style w:type="paragraph" w:styleId="Title">
    <w:name w:val="Title"/>
    <w:basedOn w:val="Normal"/>
    <w:next w:val="Normal"/>
    <w:link w:val="TitleChar"/>
    <w:uiPriority w:val="10"/>
    <w:qFormat/>
    <w:rsid w:val="00984AAF"/>
    <w:pPr>
      <w:spacing w:line="240" w:lineRule="auto"/>
      <w:contextualSpacing/>
    </w:pPr>
    <w:rPr>
      <w:rFonts w:ascii="Myriad Pro Cond" w:eastAsiaTheme="majorEastAsia" w:hAnsi="Myriad Pro Cond" w:cstheme="majorBidi"/>
      <w:b/>
      <w:spacing w:val="5"/>
      <w:sz w:val="52"/>
      <w:szCs w:val="52"/>
    </w:rPr>
  </w:style>
  <w:style w:type="character" w:customStyle="1" w:styleId="TitleChar">
    <w:name w:val="Title Char"/>
    <w:basedOn w:val="DefaultParagraphFont"/>
    <w:link w:val="Title"/>
    <w:uiPriority w:val="10"/>
    <w:rsid w:val="00984AAF"/>
    <w:rPr>
      <w:rFonts w:ascii="Myriad Pro Cond" w:eastAsiaTheme="majorEastAsia" w:hAnsi="Myriad Pro Cond" w:cstheme="majorBidi"/>
      <w:b/>
      <w:spacing w:val="5"/>
      <w:sz w:val="52"/>
      <w:szCs w:val="52"/>
    </w:rPr>
  </w:style>
  <w:style w:type="character" w:customStyle="1" w:styleId="Heading3Char">
    <w:name w:val="Heading 3 Char"/>
    <w:basedOn w:val="DefaultParagraphFont"/>
    <w:link w:val="Heading3"/>
    <w:uiPriority w:val="9"/>
    <w:rsid w:val="00741192"/>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741192"/>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741192"/>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741192"/>
    <w:rPr>
      <w:rFonts w:asciiTheme="majorHAnsi" w:eastAsiaTheme="majorEastAsia" w:hAnsiTheme="majorHAnsi" w:cstheme="majorBidi"/>
      <w:b/>
      <w:bCs/>
      <w:i/>
      <w:iCs/>
      <w:color w:val="7F7F7F" w:themeColor="text1" w:themeTint="80"/>
    </w:rPr>
  </w:style>
  <w:style w:type="paragraph" w:styleId="Subtitle">
    <w:name w:val="Subtitle"/>
    <w:basedOn w:val="Normal"/>
    <w:next w:val="Normal"/>
    <w:link w:val="SubtitleChar"/>
    <w:uiPriority w:val="11"/>
    <w:qFormat/>
    <w:rsid w:val="00741192"/>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741192"/>
    <w:rPr>
      <w:rFonts w:asciiTheme="majorHAnsi" w:eastAsiaTheme="majorEastAsia" w:hAnsiTheme="majorHAnsi" w:cstheme="majorBidi"/>
      <w:i/>
      <w:iCs/>
      <w:spacing w:val="13"/>
      <w:sz w:val="24"/>
      <w:szCs w:val="24"/>
    </w:rPr>
  </w:style>
  <w:style w:type="paragraph" w:styleId="NoSpacing">
    <w:name w:val="No Spacing"/>
    <w:basedOn w:val="Normal"/>
    <w:link w:val="NoSpacingChar"/>
    <w:uiPriority w:val="1"/>
    <w:qFormat/>
    <w:rsid w:val="00741192"/>
    <w:pPr>
      <w:spacing w:after="0" w:line="240" w:lineRule="auto"/>
    </w:pPr>
  </w:style>
  <w:style w:type="paragraph" w:styleId="Quote">
    <w:name w:val="Quote"/>
    <w:basedOn w:val="Normal"/>
    <w:next w:val="Normal"/>
    <w:link w:val="QuoteChar"/>
    <w:uiPriority w:val="29"/>
    <w:qFormat/>
    <w:rsid w:val="00741192"/>
    <w:pPr>
      <w:spacing w:before="200" w:after="0"/>
      <w:ind w:left="360" w:right="360"/>
    </w:pPr>
    <w:rPr>
      <w:i/>
      <w:iCs/>
    </w:rPr>
  </w:style>
  <w:style w:type="character" w:customStyle="1" w:styleId="QuoteChar">
    <w:name w:val="Quote Char"/>
    <w:basedOn w:val="DefaultParagraphFont"/>
    <w:link w:val="Quote"/>
    <w:uiPriority w:val="29"/>
    <w:rsid w:val="00741192"/>
    <w:rPr>
      <w:i/>
      <w:iCs/>
    </w:rPr>
  </w:style>
  <w:style w:type="paragraph" w:styleId="IntenseQuote">
    <w:name w:val="Intense Quote"/>
    <w:basedOn w:val="Normal"/>
    <w:next w:val="Normal"/>
    <w:link w:val="IntenseQuoteChar"/>
    <w:uiPriority w:val="30"/>
    <w:qFormat/>
    <w:rsid w:val="00741192"/>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741192"/>
    <w:rPr>
      <w:b/>
      <w:bCs/>
      <w:i/>
      <w:iCs/>
    </w:rPr>
  </w:style>
  <w:style w:type="character" w:styleId="SubtleEmphasis">
    <w:name w:val="Subtle Emphasis"/>
    <w:uiPriority w:val="19"/>
    <w:qFormat/>
    <w:rsid w:val="00741192"/>
    <w:rPr>
      <w:i/>
      <w:iCs/>
    </w:rPr>
  </w:style>
  <w:style w:type="character" w:styleId="IntenseEmphasis">
    <w:name w:val="Intense Emphasis"/>
    <w:uiPriority w:val="21"/>
    <w:qFormat/>
    <w:rsid w:val="00741192"/>
    <w:rPr>
      <w:b/>
      <w:bCs/>
    </w:rPr>
  </w:style>
  <w:style w:type="character" w:styleId="SubtleReference">
    <w:name w:val="Subtle Reference"/>
    <w:uiPriority w:val="31"/>
    <w:qFormat/>
    <w:rsid w:val="00741192"/>
    <w:rPr>
      <w:smallCaps/>
    </w:rPr>
  </w:style>
  <w:style w:type="character" w:styleId="IntenseReference">
    <w:name w:val="Intense Reference"/>
    <w:uiPriority w:val="32"/>
    <w:qFormat/>
    <w:rsid w:val="00741192"/>
    <w:rPr>
      <w:smallCaps/>
      <w:spacing w:val="5"/>
      <w:u w:val="single"/>
    </w:rPr>
  </w:style>
  <w:style w:type="character" w:styleId="BookTitle">
    <w:name w:val="Book Title"/>
    <w:uiPriority w:val="33"/>
    <w:qFormat/>
    <w:rsid w:val="00741192"/>
    <w:rPr>
      <w:i/>
      <w:iCs/>
      <w:smallCaps/>
      <w:spacing w:val="5"/>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paragraph" w:styleId="TOCHeading">
    <w:name w:val="TOC Heading"/>
    <w:basedOn w:val="Heading1"/>
    <w:next w:val="Normal"/>
    <w:uiPriority w:val="39"/>
    <w:semiHidden/>
    <w:unhideWhenUsed/>
    <w:qFormat/>
    <w:rsid w:val="00741192"/>
    <w:pPr>
      <w:outlineLvl w:val="9"/>
    </w:pPr>
    <w:rPr>
      <w:lang w:bidi="en-US"/>
    </w:rPr>
  </w:style>
  <w:style w:type="paragraph" w:styleId="BalloonText">
    <w:name w:val="Balloon Text"/>
    <w:basedOn w:val="Normal"/>
    <w:link w:val="BalloonTextChar"/>
    <w:uiPriority w:val="99"/>
    <w:semiHidden/>
    <w:unhideWhenUsed/>
    <w:rsid w:val="00C772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723C"/>
    <w:rPr>
      <w:rFonts w:ascii="Tahoma" w:hAnsi="Tahoma" w:cs="Tahoma"/>
      <w:sz w:val="16"/>
      <w:szCs w:val="16"/>
    </w:rPr>
  </w:style>
  <w:style w:type="character" w:styleId="PlaceholderText">
    <w:name w:val="Placeholder Text"/>
    <w:basedOn w:val="DefaultParagraphFont"/>
    <w:uiPriority w:val="99"/>
    <w:semiHidden/>
    <w:rsid w:val="00433DFA"/>
    <w:rPr>
      <w:color w:val="808080"/>
    </w:rPr>
  </w:style>
  <w:style w:type="character" w:customStyle="1" w:styleId="NoSpacingChar">
    <w:name w:val="No Spacing Char"/>
    <w:basedOn w:val="DefaultParagraphFont"/>
    <w:link w:val="NoSpacing"/>
    <w:uiPriority w:val="1"/>
    <w:rsid w:val="007B7854"/>
  </w:style>
  <w:style w:type="paragraph" w:customStyle="1" w:styleId="Pa1">
    <w:name w:val="Pa1"/>
    <w:basedOn w:val="Normal"/>
    <w:next w:val="Normal"/>
    <w:uiPriority w:val="99"/>
    <w:rsid w:val="00D47D22"/>
    <w:pPr>
      <w:autoSpaceDE w:val="0"/>
      <w:autoSpaceDN w:val="0"/>
      <w:adjustRightInd w:val="0"/>
      <w:spacing w:after="0" w:line="241" w:lineRule="atLeast"/>
    </w:pPr>
    <w:rPr>
      <w:rFonts w:ascii="Myriad Pro" w:hAnsi="Myriad Pro"/>
      <w:sz w:val="24"/>
      <w:szCs w:val="24"/>
    </w:rPr>
  </w:style>
  <w:style w:type="character" w:customStyle="1" w:styleId="A10">
    <w:name w:val="A10"/>
    <w:uiPriority w:val="99"/>
    <w:rsid w:val="00D47D22"/>
    <w:rPr>
      <w:rFonts w:cs="Myriad Pro"/>
      <w:color w:val="211D1E"/>
      <w:sz w:val="22"/>
      <w:szCs w:val="22"/>
    </w:rPr>
  </w:style>
  <w:style w:type="character" w:customStyle="1" w:styleId="A11">
    <w:name w:val="A11"/>
    <w:uiPriority w:val="99"/>
    <w:rsid w:val="00D47D22"/>
    <w:rPr>
      <w:rFonts w:cs="Myriad Pro"/>
      <w:color w:val="211D1E"/>
      <w:sz w:val="22"/>
      <w:szCs w:val="22"/>
      <w:u w:val="single"/>
    </w:rPr>
  </w:style>
  <w:style w:type="character" w:customStyle="1" w:styleId="A12">
    <w:name w:val="A12"/>
    <w:uiPriority w:val="99"/>
    <w:rsid w:val="00D47D22"/>
    <w:rPr>
      <w:rFonts w:cs="Myriad Pro"/>
      <w:color w:val="211D1E"/>
      <w:u w:val="single"/>
    </w:rPr>
  </w:style>
  <w:style w:type="character" w:styleId="Hyperlink">
    <w:name w:val="Hyperlink"/>
    <w:basedOn w:val="DefaultParagraphFont"/>
    <w:uiPriority w:val="99"/>
    <w:unhideWhenUsed/>
    <w:rsid w:val="001B37B8"/>
    <w:rPr>
      <w:color w:val="0000FF" w:themeColor="hyperlink"/>
      <w:u w:val="single"/>
    </w:rPr>
  </w:style>
  <w:style w:type="table" w:customStyle="1" w:styleId="CDI-StandardTable">
    <w:name w:val="CDI - Standard Table"/>
    <w:basedOn w:val="TableNormal"/>
    <w:uiPriority w:val="99"/>
    <w:rsid w:val="00AE4452"/>
    <w:pPr>
      <w:spacing w:after="0" w:line="240" w:lineRule="auto"/>
    </w:pPr>
    <w:rPr>
      <w:rFonts w:ascii="Calibri" w:hAnsi="Calibri"/>
    </w:rPr>
    <w:tblPr>
      <w:tblStyleRowBandSize w:val="1"/>
    </w:tblPr>
    <w:tblStylePr w:type="firstRow">
      <w:rPr>
        <w:rFonts w:asciiTheme="minorHAnsi" w:hAnsiTheme="minorHAnsi"/>
        <w:b/>
        <w:sz w:val="22"/>
      </w:rPr>
      <w:tblPr>
        <w:tblCellMar>
          <w:top w:w="120" w:type="dxa"/>
          <w:left w:w="120" w:type="dxa"/>
          <w:bottom w:w="120" w:type="dxa"/>
          <w:right w:w="120" w:type="dxa"/>
        </w:tblCellMar>
      </w:tblPr>
      <w:tcPr>
        <w:shd w:val="clear" w:color="auto" w:fill="404040" w:themeFill="text1" w:themeFillTint="BF"/>
      </w:tcPr>
    </w:tblStylePr>
    <w:tblStylePr w:type="band2Horz">
      <w:tblPr/>
      <w:tcPr>
        <w:shd w:val="clear" w:color="auto" w:fill="F2F2F2" w:themeFill="background1" w:themeFillShade="F2"/>
      </w:tcPr>
    </w:tblStylePr>
  </w:style>
  <w:style w:type="paragraph" w:customStyle="1" w:styleId="CDIfootnotes">
    <w:name w:val="CDI_footnotes"/>
    <w:basedOn w:val="NormalWeb"/>
    <w:link w:val="CDIfootnotesChar"/>
    <w:qFormat/>
    <w:rsid w:val="004C083C"/>
    <w:pPr>
      <w:spacing w:line="240" w:lineRule="auto"/>
      <w:ind w:left="720" w:hanging="720"/>
    </w:pPr>
    <w:rPr>
      <w:sz w:val="18"/>
    </w:rPr>
  </w:style>
  <w:style w:type="table" w:styleId="LightList">
    <w:name w:val="Light List"/>
    <w:basedOn w:val="TableNormal"/>
    <w:uiPriority w:val="61"/>
    <w:rsid w:val="00433456"/>
    <w:pPr>
      <w:spacing w:after="0" w:line="240" w:lineRule="auto"/>
    </w:pPr>
    <w:tblPr>
      <w:tblStyleRow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
    <w:name w:val="Table Grid"/>
    <w:basedOn w:val="TableNormal"/>
    <w:uiPriority w:val="59"/>
    <w:rsid w:val="004334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DIFigures">
    <w:name w:val="CDI_Figures"/>
    <w:basedOn w:val="NormalWeb"/>
    <w:link w:val="CDIFiguresChar"/>
    <w:qFormat/>
    <w:rsid w:val="00C30BA9"/>
    <w:rPr>
      <w:b/>
    </w:rPr>
  </w:style>
  <w:style w:type="character" w:customStyle="1" w:styleId="NormalWebChar">
    <w:name w:val="Normal (Web) Char"/>
    <w:basedOn w:val="DefaultParagraphFont"/>
    <w:link w:val="NormalWeb"/>
    <w:uiPriority w:val="99"/>
    <w:rsid w:val="00DE5D02"/>
  </w:style>
  <w:style w:type="character" w:customStyle="1" w:styleId="CDIfootnotesChar">
    <w:name w:val="CDI_footnotes Char"/>
    <w:basedOn w:val="NormalWebChar"/>
    <w:link w:val="CDIfootnotes"/>
    <w:rsid w:val="004C083C"/>
    <w:rPr>
      <w:sz w:val="18"/>
    </w:rPr>
  </w:style>
  <w:style w:type="character" w:customStyle="1" w:styleId="CDIFiguresChar">
    <w:name w:val="CDI_Figures Char"/>
    <w:basedOn w:val="NormalWebChar"/>
    <w:link w:val="CDIFigures"/>
    <w:rsid w:val="00C30BA9"/>
    <w:rPr>
      <w:b/>
    </w:rPr>
  </w:style>
  <w:style w:type="character" w:customStyle="1" w:styleId="URI">
    <w:name w:val="URI"/>
    <w:uiPriority w:val="99"/>
    <w:rsid w:val="000A5F42"/>
    <w:rPr>
      <w:color w:val="000000"/>
      <w:u w:val="thick"/>
    </w:rPr>
  </w:style>
  <w:style w:type="character" w:customStyle="1" w:styleId="nobreak">
    <w:name w:val="no break"/>
    <w:uiPriority w:val="99"/>
    <w:rsid w:val="000A5F42"/>
    <w:rPr>
      <w:u w:val="none"/>
    </w:rPr>
  </w:style>
  <w:style w:type="paragraph" w:customStyle="1" w:styleId="msonormal0">
    <w:name w:val="msonormal"/>
    <w:basedOn w:val="Normal"/>
    <w:rsid w:val="00355749"/>
    <w:pPr>
      <w:spacing w:before="100" w:beforeAutospacing="1" w:after="100" w:afterAutospacing="1" w:line="240" w:lineRule="auto"/>
    </w:pPr>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4D3A96"/>
    <w:rPr>
      <w:sz w:val="16"/>
      <w:szCs w:val="16"/>
    </w:rPr>
  </w:style>
  <w:style w:type="paragraph" w:styleId="CommentText">
    <w:name w:val="annotation text"/>
    <w:basedOn w:val="Normal"/>
    <w:link w:val="CommentTextChar"/>
    <w:uiPriority w:val="99"/>
    <w:unhideWhenUsed/>
    <w:rsid w:val="004D3A96"/>
    <w:pPr>
      <w:spacing w:line="240" w:lineRule="auto"/>
    </w:pPr>
    <w:rPr>
      <w:sz w:val="20"/>
      <w:szCs w:val="20"/>
    </w:rPr>
  </w:style>
  <w:style w:type="character" w:customStyle="1" w:styleId="CommentTextChar">
    <w:name w:val="Comment Text Char"/>
    <w:basedOn w:val="DefaultParagraphFont"/>
    <w:link w:val="CommentText"/>
    <w:uiPriority w:val="99"/>
    <w:rsid w:val="004D3A96"/>
    <w:rPr>
      <w:sz w:val="20"/>
      <w:szCs w:val="20"/>
    </w:rPr>
  </w:style>
  <w:style w:type="paragraph" w:styleId="CommentSubject">
    <w:name w:val="annotation subject"/>
    <w:basedOn w:val="CommentText"/>
    <w:next w:val="CommentText"/>
    <w:link w:val="CommentSubjectChar"/>
    <w:uiPriority w:val="99"/>
    <w:semiHidden/>
    <w:unhideWhenUsed/>
    <w:rsid w:val="004D3A96"/>
    <w:rPr>
      <w:b/>
      <w:bCs/>
    </w:rPr>
  </w:style>
  <w:style w:type="character" w:customStyle="1" w:styleId="CommentSubjectChar">
    <w:name w:val="Comment Subject Char"/>
    <w:basedOn w:val="CommentTextChar"/>
    <w:link w:val="CommentSubject"/>
    <w:uiPriority w:val="99"/>
    <w:semiHidden/>
    <w:rsid w:val="004D3A9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health.gov.au/cdi" TargetMode="External"/><Relationship Id="rId18" Type="http://schemas.openxmlformats.org/officeDocument/2006/relationships/hyperlink" Target="http://www.itsanhonour.gov.au/" TargetMode="Externa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hyperlink" Target="https://creativecommons.org/licenses/by-nc-nd/4.0/legalcode" TargetMode="External"/><Relationship Id="rId2" Type="http://schemas.openxmlformats.org/officeDocument/2006/relationships/customXml" Target="../customXml/item2.xml"/><Relationship Id="rId16" Type="http://schemas.openxmlformats.org/officeDocument/2006/relationships/hyperlink" Target="mailto:cdi.editor@health.gov.au" TargetMode="External"/><Relationship Id="rId20" Type="http://schemas.openxmlformats.org/officeDocument/2006/relationships/hyperlink" Target="http://www.health.gov.au/cdn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health.gov.au/cdi"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mailto:copyright@health.gov.au"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mailto:cdi.editor@health.gov.au"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tiff"/></Relationships>
</file>

<file path=word/_rels/settings.xml.rels><?xml version="1.0" encoding="UTF-8" standalone="yes"?>
<Relationships xmlns="http://schemas.openxmlformats.org/package/2006/relationships"><Relationship Id="rId1" Type="http://schemas.openxmlformats.org/officeDocument/2006/relationships/attachedTemplate" Target="file:///I:\Staging\CDESS\ZoFE\CDI\Desktopping\OpenCDI\OpenCDI-2019\template-2019.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E7D9C71-FA9B-489E-93FD-D9CE0417F9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template-2019.dotm</Template>
  <TotalTime>27</TotalTime>
  <Pages>19</Pages>
  <Words>5840</Words>
  <Characters>34057</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Australian Gonococcal Surveillance Programme Annual Report, 2018</vt:lpstr>
    </vt:vector>
  </TitlesOfParts>
  <Company>Australian Government, Department of Health</Company>
  <LinksUpToDate>false</LinksUpToDate>
  <CharactersWithSpaces>39818</CharactersWithSpaces>
  <SharedDoc>false</SharedDoc>
  <HyperlinkBase>http://www.health.gov.au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Gonococcal Surveillance Programme Annual Report, 2018</dc:title>
  <dc:subject>The National Neisseria Network (NNN) was established in 1981 to provide laboratory based surveillance for pathogenic Neisseria in Australia. The Australian Gonococcal Surveillance Programme is a product of the NNN. This report presents gonococcal antimicrobial resistance surveillance data from 2018.</dc:subject>
  <dc:creator>Monica M Lahra, Rodney Enriquez and CR Robert George for the National Neisseria Network, Australia</dc:creator>
  <cp:keywords>antimicrobial resistance, disease surveillance, gonococcal infection, Neisseria gonorrhoeae</cp:keywords>
  <dc:description>© Commonwealth of Australia CC BY-NC-ND ISSN: 2209-6051 (Online)</dc:description>
  <cp:lastModifiedBy>YOUSEFI, Kasra</cp:lastModifiedBy>
  <cp:revision>21</cp:revision>
  <cp:lastPrinted>2018-05-10T02:19:00Z</cp:lastPrinted>
  <dcterms:created xsi:type="dcterms:W3CDTF">2019-09-12T05:03:00Z</dcterms:created>
  <dcterms:modified xsi:type="dcterms:W3CDTF">2020-01-21T22:17:00Z</dcterms:modified>
  <cp:category>Annual Report</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2020</vt:lpwstr>
  </property>
  <property fmtid="{D5CDD505-2E9C-101B-9397-08002B2CF9AE}" pid="3" name="Vol">
    <vt:i4>44</vt:i4>
  </property>
  <property fmtid="{D5CDD505-2E9C-101B-9397-08002B2CF9AE}" pid="4" name="ePubDate">
    <vt:lpwstr>17/2/2020</vt:lpwstr>
  </property>
  <property fmtid="{D5CDD505-2E9C-101B-9397-08002B2CF9AE}" pid="5" name="DOI">
    <vt:lpwstr>https://doi.org/10.33321/cdi.2020.44.4</vt:lpwstr>
  </property>
</Properties>
</file>