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C41A" w14:textId="68A8084E" w:rsidR="00B50D8D" w:rsidRPr="00341720" w:rsidRDefault="00282B56" w:rsidP="00341720">
      <w:pPr>
        <w:pStyle w:val="CDIDOIinformation"/>
      </w:pPr>
      <w:fldSimple w:instr=" DOCPROPERTY  Year  \* MERGEFORMAT ">
        <w:r w:rsidR="00FF748F">
          <w:t>2025</w:t>
        </w:r>
      </w:fldSimple>
      <w:r w:rsidR="00A623E8" w:rsidRPr="00341720">
        <w:t xml:space="preserve"> • </w:t>
      </w:r>
      <w:r w:rsidR="00B50D8D" w:rsidRPr="00341720">
        <w:t xml:space="preserve">Volume </w:t>
      </w:r>
      <w:fldSimple w:instr=" DOCPROPERTY  Vol  \* MERGEFORMAT ">
        <w:r w:rsidR="00FF748F">
          <w:t>49</w:t>
        </w:r>
      </w:fldSimple>
      <w:r w:rsidR="00725C33" w:rsidRPr="00341720">
        <w:t xml:space="preserve"> </w:t>
      </w:r>
      <w:r w:rsidR="008E3F81" w:rsidRPr="00341720">
        <w:t>•</w:t>
      </w:r>
      <w:r w:rsidR="00725C33" w:rsidRPr="00341720">
        <w:t xml:space="preserve"> </w:t>
      </w:r>
      <w:fldSimple w:instr=" DOCPROPERTY  DOI  \* MERGEFORMAT ">
        <w:r w:rsidR="00866956">
          <w:t>https://doi.org/10.33321/cdi.2025.49.041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866956">
          <w:t>19/05/2025</w:t>
        </w:r>
      </w:fldSimple>
    </w:p>
    <w:p w14:paraId="5EF3F7A1" w14:textId="6804EDA5" w:rsidR="006B16A5" w:rsidRPr="006B16A5" w:rsidRDefault="006B4588" w:rsidP="001020EE">
      <w:pPr>
        <w:pStyle w:val="Title"/>
        <w:divId w:val="935526654"/>
      </w:pPr>
      <w:r w:rsidRPr="006B4588">
        <w:t>Hospital-based surveillance of respiratory syncytial virus in Central Queensland</w:t>
      </w:r>
    </w:p>
    <w:p w14:paraId="506FC1B1" w14:textId="0693FE96" w:rsidR="007A33B9" w:rsidRPr="0037146D" w:rsidRDefault="006B4588" w:rsidP="0037146D">
      <w:pPr>
        <w:pStyle w:val="Subtitle"/>
        <w:divId w:val="935526654"/>
      </w:pPr>
      <w:r w:rsidRPr="006B4588">
        <w:t>Mahmudul Hassan Al Imam, Reema Goswami, Caitlyn Bolck, Jacina Walker, Michael Kirk, Robert</w:t>
      </w:r>
      <w:r>
        <w:t> </w:t>
      </w:r>
      <w:r w:rsidRPr="006B4588">
        <w:t>Menzies, Gulam Khandaker</w:t>
      </w:r>
    </w:p>
    <w:p w14:paraId="6A6673D9" w14:textId="77777777" w:rsidR="0037146D" w:rsidRDefault="0037146D" w:rsidP="005A3253">
      <w:pPr>
        <w:pStyle w:val="Heading1"/>
        <w:divId w:val="935526654"/>
      </w:pPr>
      <w:r>
        <w:t>Abstract</w:t>
      </w:r>
    </w:p>
    <w:p w14:paraId="77772FC9" w14:textId="31A0C57D" w:rsidR="00065A6B" w:rsidRDefault="006B4588" w:rsidP="00065A6B">
      <w:pPr>
        <w:pStyle w:val="CDIBoxheading-Teal"/>
        <w:divId w:val="935526654"/>
        <w:rPr>
          <w:lang w:val="en-GB"/>
        </w:rPr>
      </w:pPr>
      <w:r>
        <w:rPr>
          <w:lang w:val="en-GB"/>
        </w:rPr>
        <w:t>Background</w:t>
      </w:r>
    </w:p>
    <w:p w14:paraId="3A9BCB10" w14:textId="77777777" w:rsidR="006B4588" w:rsidRPr="006B4588" w:rsidRDefault="006B4588" w:rsidP="006B4588">
      <w:pPr>
        <w:pStyle w:val="CDIBoxtext-Green"/>
        <w:divId w:val="935526654"/>
        <w:rPr>
          <w:lang w:val="en-GB"/>
        </w:rPr>
      </w:pPr>
      <w:r w:rsidRPr="006B4588">
        <w:rPr>
          <w:lang w:val="en-GB"/>
        </w:rPr>
        <w:t>Respiratory syncytial virus (RSV) is a leading cause of acute lower respiratory tract infections, especially in infants and young children globally. Despite its impact, RSV testing and epidemiological data remain limited, particularly in regional Australia. Central Queensland, with its subtropical climate, provides a unique setting in which to study RSV trends, testing patterns, and associated hospital burden.</w:t>
      </w:r>
    </w:p>
    <w:p w14:paraId="47764CA6" w14:textId="4B33C9CF" w:rsidR="006B4588" w:rsidRDefault="006B4588" w:rsidP="006B4588">
      <w:pPr>
        <w:pStyle w:val="CDIBoxheading-Teal"/>
        <w:divId w:val="935526654"/>
        <w:rPr>
          <w:lang w:val="en-GB"/>
        </w:rPr>
      </w:pPr>
      <w:r>
        <w:rPr>
          <w:lang w:val="en-GB"/>
        </w:rPr>
        <w:t>Methods</w:t>
      </w:r>
    </w:p>
    <w:p w14:paraId="53BBF580" w14:textId="77777777" w:rsidR="006B4588" w:rsidRDefault="006B4588" w:rsidP="006B4588">
      <w:pPr>
        <w:pStyle w:val="CDIBoxtext-Green"/>
        <w:divId w:val="935526654"/>
        <w:rPr>
          <w:lang w:val="en-GB"/>
        </w:rPr>
      </w:pPr>
      <w:r w:rsidRPr="006B4588">
        <w:rPr>
          <w:lang w:val="en-GB"/>
        </w:rPr>
        <w:t>This study used hospital-based data to analyse RSV-related hospitalisations and testing from Central Queensland. Data were collected retrospectively between 2018 and 2021 and prospectively between 2022 and 2023. Eligible cases included individuals presenting to or admitted at any hospitals in Central Queensland with laboratory-confirmed RSV or RSV-related diagnoses based on ICD-10-AM codes. The analysis focused on RSV-related hospital admissions and hospitalisation outcomes. Incidence rate ratios (IRR) for hospitalisation rates between the two periods were calculated.</w:t>
      </w:r>
    </w:p>
    <w:p w14:paraId="1DD0093C" w14:textId="50FF040F" w:rsidR="006B4588" w:rsidRPr="000149DE" w:rsidRDefault="006B4588" w:rsidP="000149DE">
      <w:r w:rsidRPr="000149DE">
        <w:br w:type="page"/>
      </w:r>
    </w:p>
    <w:p w14:paraId="31F41661" w14:textId="0FCD3562" w:rsidR="006B4588" w:rsidRDefault="006B4588" w:rsidP="006B4588">
      <w:pPr>
        <w:pStyle w:val="CDIBoxheading-Teal"/>
        <w:divId w:val="935526654"/>
        <w:rPr>
          <w:lang w:val="en-GB"/>
        </w:rPr>
      </w:pPr>
      <w:r>
        <w:rPr>
          <w:lang w:val="en-GB"/>
        </w:rPr>
        <w:lastRenderedPageBreak/>
        <w:t>Results</w:t>
      </w:r>
    </w:p>
    <w:p w14:paraId="06BD8B93" w14:textId="77777777" w:rsidR="006B4588" w:rsidRPr="006B4588" w:rsidRDefault="006B4588" w:rsidP="006B4588">
      <w:pPr>
        <w:pStyle w:val="CDIBoxtext-Green"/>
        <w:divId w:val="935526654"/>
        <w:rPr>
          <w:lang w:val="en-GB"/>
        </w:rPr>
      </w:pPr>
      <w:r w:rsidRPr="006B4588">
        <w:rPr>
          <w:lang w:val="en-GB"/>
        </w:rPr>
        <w:t xml:space="preserve">Between 2018 and 2023, there were 1,279 RSV-related hospitalisations, with 53.2% of cases being male. Infants under 12 months accounted for the highest proportion of admissions (38.4%). RSV-related hospitalisations peaked during the prospective study period, rising from 123 in 2018 to 357 in 2023. The hospitalisation rate among infants was significantly higher in the prospective study period compared to the retrospective study period (IRR: 2.2; 95% confidence interval [95% CI]: 1.8–2.6; </w:t>
      </w:r>
      <w:r w:rsidRPr="006B4588">
        <w:rPr>
          <w:i/>
          <w:iCs/>
          <w:lang w:val="en-GB"/>
        </w:rPr>
        <w:t>p</w:t>
      </w:r>
      <w:r w:rsidRPr="006B4588">
        <w:rPr>
          <w:lang w:val="en-GB"/>
        </w:rPr>
        <w:t xml:space="preserve"> &lt; 0.001). The Indigenous population had a significantly higher hospitalisation rate than the non-Indigenous population over the whole study period (IRR: 3.1; 95% CI: 2.7–3.6; </w:t>
      </w:r>
      <w:r w:rsidRPr="006B4588">
        <w:rPr>
          <w:i/>
          <w:iCs/>
          <w:lang w:val="en-GB"/>
        </w:rPr>
        <w:t>p</w:t>
      </w:r>
      <w:r w:rsidRPr="006B4588">
        <w:rPr>
          <w:lang w:val="en-GB"/>
        </w:rPr>
        <w:t xml:space="preserve"> &lt; 0.001). The median length of stay was two days, with 20.6% of those hospitalised requiring ventilation, 2.2% needing intensive care unit (ICU) support, and 0.9% of hospitalisations resulting in death. Mortality was highest among those aged 60 years and above (91.7%). Although infants under 12 months had the lowest RSV testing rates (9.8%), they had the highest test positivity rate (16.4%).</w:t>
      </w:r>
    </w:p>
    <w:p w14:paraId="77000FED" w14:textId="4BE09DD8" w:rsidR="006B4588" w:rsidRDefault="006B4588" w:rsidP="006B4588">
      <w:pPr>
        <w:pStyle w:val="CDIBoxheading-Teal"/>
        <w:divId w:val="935526654"/>
        <w:rPr>
          <w:lang w:val="en-GB"/>
        </w:rPr>
      </w:pPr>
      <w:r>
        <w:rPr>
          <w:lang w:val="en-GB"/>
        </w:rPr>
        <w:t>Conclusions</w:t>
      </w:r>
    </w:p>
    <w:p w14:paraId="6F46D865" w14:textId="77777777" w:rsidR="006B4588" w:rsidRPr="006B4588" w:rsidRDefault="006B4588" w:rsidP="006B4588">
      <w:pPr>
        <w:pStyle w:val="CDIBoxtext-Green"/>
        <w:divId w:val="935526654"/>
        <w:rPr>
          <w:lang w:val="en-GB"/>
        </w:rPr>
      </w:pPr>
      <w:r w:rsidRPr="006B4588">
        <w:rPr>
          <w:lang w:val="en-GB"/>
        </w:rPr>
        <w:t>RSV admissions have been under-reported due to limited testing. Increased awareness and widespread testing during prospective surveillance revealed a significant rise in RSV-related admissions. These findings underscore the need for enhanced RSV testing, improved resource allocation, and expanded immunisation efforts to effectively manage the burden of RSV.</w:t>
      </w:r>
    </w:p>
    <w:p w14:paraId="315A40D3" w14:textId="22643FB5" w:rsidR="00620509" w:rsidRPr="006B4588" w:rsidRDefault="00620509" w:rsidP="006B4588">
      <w:pPr>
        <w:divId w:val="935526654"/>
      </w:pPr>
      <w:r w:rsidRPr="006B4588">
        <w:t xml:space="preserve">Keywords: </w:t>
      </w:r>
      <w:r w:rsidR="006B4588" w:rsidRPr="006B4588">
        <w:t>respiratory syncytial virus; RSV; RSV hospitalisation; paediatric respiratory infections; acute</w:t>
      </w:r>
      <w:r w:rsidR="006B4588">
        <w:t> </w:t>
      </w:r>
      <w:r w:rsidR="006B4588" w:rsidRPr="006B4588">
        <w:t>lower respiratory tract infections; epidemiology; RSV testing; respiratory illness; Australia</w:t>
      </w:r>
    </w:p>
    <w:p w14:paraId="58A36454" w14:textId="57E20C77" w:rsidR="008A0736" w:rsidRDefault="006B4588" w:rsidP="008A0736">
      <w:pPr>
        <w:pStyle w:val="Heading1"/>
        <w:divId w:val="935526654"/>
      </w:pPr>
      <w:r>
        <w:t>Background</w:t>
      </w:r>
    </w:p>
    <w:p w14:paraId="3331A3F3" w14:textId="77777777" w:rsidR="006B4588" w:rsidRPr="006B4588" w:rsidRDefault="006B4588" w:rsidP="006B4588">
      <w:pPr>
        <w:divId w:val="935526654"/>
        <w:rPr>
          <w:lang w:val="en-GB"/>
        </w:rPr>
      </w:pPr>
      <w:r w:rsidRPr="006B4588">
        <w:rPr>
          <w:lang w:val="en-GB"/>
        </w:rPr>
        <w:t>Respiratory syncytial virus (RSV) is a leading cause of acute lower respiratory tract infections in infants and young children globally, contributing significantly to morbidity and mortality. Annually, RSV accounts for over 33 million episodes of acute lower respiratory tract infections, resulting in more than 3 million hospitalisations and approximately 60,000 to 200,000 deaths in children under five years of age worldwide.</w:t>
      </w:r>
      <w:r w:rsidRPr="006B4588">
        <w:rPr>
          <w:vertAlign w:val="superscript"/>
          <w:lang w:val="en-GB"/>
        </w:rPr>
        <w:t>1</w:t>
      </w:r>
      <w:r w:rsidRPr="006B4588">
        <w:rPr>
          <w:lang w:val="en-GB"/>
        </w:rPr>
        <w:t xml:space="preserve"> While infants and young children bear the greatest burden of RSV, older adults and individuals with chronic illnesses or weakened immune systems are also at high risk of severe disease outcomes.</w:t>
      </w:r>
      <w:r w:rsidRPr="006B4588">
        <w:rPr>
          <w:vertAlign w:val="superscript"/>
          <w:lang w:val="en-GB"/>
        </w:rPr>
        <w:t>2</w:t>
      </w:r>
      <w:r w:rsidRPr="006B4588">
        <w:rPr>
          <w:lang w:val="en-GB"/>
        </w:rPr>
        <w:t xml:space="preserve"> </w:t>
      </w:r>
    </w:p>
    <w:p w14:paraId="126B7C8B" w14:textId="77777777" w:rsidR="006B4588" w:rsidRPr="006B4588" w:rsidRDefault="006B4588" w:rsidP="006B4588">
      <w:pPr>
        <w:divId w:val="935526654"/>
        <w:rPr>
          <w:lang w:val="en-GB"/>
        </w:rPr>
      </w:pPr>
      <w:r w:rsidRPr="006B4588">
        <w:rPr>
          <w:lang w:val="en-GB"/>
        </w:rPr>
        <w:t>Despite this substantial global burden, the absence of a widely available RSV vaccine has made its control a critical public health priority.</w:t>
      </w:r>
      <w:r w:rsidRPr="006B4588">
        <w:rPr>
          <w:vertAlign w:val="superscript"/>
          <w:lang w:val="en-GB"/>
        </w:rPr>
        <w:t>3</w:t>
      </w:r>
      <w:r w:rsidRPr="006B4588">
        <w:rPr>
          <w:lang w:val="en-GB"/>
        </w:rPr>
        <w:t xml:space="preserve"> The Therapeutic Goods Administration (TGA) of Australia has approved two RSV vaccines, ABRYSVO and Arexvy, and announced the availability of ABRYSVO vaccine under the National Immunisation Program (NIP) for eligible pregnant women in 2025.</w:t>
      </w:r>
      <w:r w:rsidRPr="006B4588">
        <w:rPr>
          <w:vertAlign w:val="superscript"/>
          <w:lang w:val="en-GB"/>
        </w:rPr>
        <w:t>4</w:t>
      </w:r>
      <w:r w:rsidRPr="006B4588">
        <w:rPr>
          <w:lang w:val="en-GB"/>
        </w:rPr>
        <w:t xml:space="preserve"> Additionally, monoclonal antibodies, nirsevimab and palivizumab, are available to provide passive immunisation in infants and children under two years.</w:t>
      </w:r>
      <w:r w:rsidRPr="006B4588">
        <w:rPr>
          <w:vertAlign w:val="superscript"/>
          <w:lang w:val="en-GB"/>
        </w:rPr>
        <w:t>4</w:t>
      </w:r>
    </w:p>
    <w:p w14:paraId="40959D1D" w14:textId="77777777" w:rsidR="006B4588" w:rsidRPr="006B4588" w:rsidRDefault="006B4588" w:rsidP="006B4588">
      <w:pPr>
        <w:divId w:val="935526654"/>
        <w:rPr>
          <w:lang w:val="en-GB"/>
        </w:rPr>
      </w:pPr>
      <w:r w:rsidRPr="006B4588">
        <w:rPr>
          <w:lang w:val="en-GB"/>
        </w:rPr>
        <w:t>In Australia, RSV is a major contributor to paediatric hospitalisations, particularly among infants with bronchiolitis and pneumonia. Recent data suggest that 16 per 1,000 infants aged 0–12 months require hospital admissions for RSV in Australia.</w:t>
      </w:r>
      <w:r w:rsidRPr="006B4588">
        <w:rPr>
          <w:vertAlign w:val="superscript"/>
          <w:lang w:val="en-GB"/>
        </w:rPr>
        <w:t>4,5</w:t>
      </w:r>
      <w:r w:rsidRPr="006B4588">
        <w:rPr>
          <w:lang w:val="en-GB"/>
        </w:rPr>
        <w:t xml:space="preserve"> RSV is also responsible for 39% of viral respiratory-related hospitalisations in children under five.</w:t>
      </w:r>
      <w:r w:rsidRPr="006B4588">
        <w:rPr>
          <w:vertAlign w:val="superscript"/>
          <w:lang w:val="en-GB"/>
        </w:rPr>
        <w:t>6</w:t>
      </w:r>
      <w:r w:rsidRPr="006B4588">
        <w:rPr>
          <w:lang w:val="en-GB"/>
        </w:rPr>
        <w:t xml:space="preserve"> Among older adults aged 65 and over, RSV-associated hospitalisation rates are estimated to be 0.2 per 1,000 population.</w:t>
      </w:r>
      <w:r w:rsidRPr="006B4588">
        <w:rPr>
          <w:vertAlign w:val="superscript"/>
          <w:lang w:val="en-GB"/>
        </w:rPr>
        <w:t>6</w:t>
      </w:r>
      <w:r w:rsidRPr="006B4588">
        <w:rPr>
          <w:lang w:val="en-GB"/>
        </w:rPr>
        <w:t xml:space="preserve"> However, predictive models suggest that the actual burden of RSV may be 30-57% higher than the reported hospitalisation rates.</w:t>
      </w:r>
      <w:r w:rsidRPr="006B4588">
        <w:rPr>
          <w:vertAlign w:val="superscript"/>
          <w:lang w:val="en-GB"/>
        </w:rPr>
        <w:t>5</w:t>
      </w:r>
      <w:r w:rsidRPr="006B4588">
        <w:rPr>
          <w:lang w:val="en-GB"/>
        </w:rPr>
        <w:t xml:space="preserve"> </w:t>
      </w:r>
      <w:r w:rsidRPr="006B4588">
        <w:rPr>
          <w:lang w:val="en-GB"/>
        </w:rPr>
        <w:lastRenderedPageBreak/>
        <w:t>Underreporting of RSV stems from inconsistent testing practices and low awareness among healthcare providers.</w:t>
      </w:r>
      <w:r w:rsidRPr="006B4588">
        <w:rPr>
          <w:vertAlign w:val="superscript"/>
          <w:lang w:val="en-GB"/>
        </w:rPr>
        <w:t>7–9</w:t>
      </w:r>
    </w:p>
    <w:p w14:paraId="46B9395A" w14:textId="2A5B4E88" w:rsidR="006B4588" w:rsidRPr="006B4588" w:rsidRDefault="006B4588" w:rsidP="006B4588">
      <w:pPr>
        <w:divId w:val="935526654"/>
        <w:rPr>
          <w:lang w:val="en-GB"/>
        </w:rPr>
      </w:pPr>
      <w:r w:rsidRPr="006B4588">
        <w:rPr>
          <w:lang w:val="en-GB"/>
        </w:rPr>
        <w:t>RSV testing in Australia is not routinely conducted and varies significantly between facilities, often focusing on hospitalised patients or high-risk individuals.</w:t>
      </w:r>
      <w:r w:rsidRPr="006B4588">
        <w:rPr>
          <w:vertAlign w:val="superscript"/>
          <w:lang w:val="en-GB"/>
        </w:rPr>
        <w:t>6</w:t>
      </w:r>
      <w:r w:rsidRPr="006B4588">
        <w:rPr>
          <w:lang w:val="en-GB"/>
        </w:rPr>
        <w:t xml:space="preserve"> As a result, many mild to moderate cases go undetected, contributing to an underestimation of RSV’s true impact. This underreporting is particularly pronounced in regional areas, where healthcare resources are limited, and diagnostic tools like polymerase chain reaction (PCR) may be less accessible.</w:t>
      </w:r>
      <w:r w:rsidRPr="006B4588">
        <w:rPr>
          <w:vertAlign w:val="superscript"/>
          <w:lang w:val="en-GB"/>
        </w:rPr>
        <w:t>4,10</w:t>
      </w:r>
      <w:r w:rsidRPr="006B4588">
        <w:rPr>
          <w:lang w:val="en-GB"/>
        </w:rPr>
        <w:t xml:space="preserve"> Recent evidence also indicates that RSV circulates year-round in regional Queensland, complicating efforts to identify seasonal peaks that guide administration of preventive measures like monoclonal antibodies.</w:t>
      </w:r>
      <w:r w:rsidRPr="006B4588">
        <w:rPr>
          <w:vertAlign w:val="superscript"/>
          <w:lang w:val="en-GB"/>
        </w:rPr>
        <w:t>10</w:t>
      </w:r>
    </w:p>
    <w:p w14:paraId="4ADA070A" w14:textId="77777777" w:rsidR="006B4588" w:rsidRPr="006B4588" w:rsidRDefault="006B4588" w:rsidP="006B4588">
      <w:pPr>
        <w:divId w:val="935526654"/>
        <w:rPr>
          <w:lang w:val="en-GB"/>
        </w:rPr>
      </w:pPr>
      <w:r w:rsidRPr="006B4588">
        <w:rPr>
          <w:lang w:val="en-GB"/>
        </w:rPr>
        <w:t>While the burden of RSV is well-documented at a national and global level, data on RSV hospitalisation and testing trends in regional areas like Central Queensland remain limited.</w:t>
      </w:r>
      <w:r w:rsidRPr="006B4588">
        <w:rPr>
          <w:vertAlign w:val="superscript"/>
          <w:lang w:val="en-GB"/>
        </w:rPr>
        <w:t>10</w:t>
      </w:r>
      <w:r w:rsidRPr="006B4588">
        <w:rPr>
          <w:lang w:val="en-GB"/>
        </w:rPr>
        <w:t xml:space="preserve"> Most Australian studies focus on metropolitan regions,</w:t>
      </w:r>
      <w:r w:rsidRPr="006B4588">
        <w:rPr>
          <w:vertAlign w:val="superscript"/>
          <w:lang w:val="en-GB"/>
        </w:rPr>
        <w:t>4–6</w:t>
      </w:r>
      <w:r w:rsidRPr="006B4588">
        <w:rPr>
          <w:lang w:val="en-GB"/>
        </w:rPr>
        <w:t xml:space="preserve"> leaving gaps in understanding the impact of RSV on regional communities. Central Queensland, with its subtropical climate, diverse population, and distinct healthcare challenges, provides a crucial setting for investigating RSV trends.</w:t>
      </w:r>
      <w:r w:rsidRPr="006B4588">
        <w:rPr>
          <w:vertAlign w:val="superscript"/>
          <w:lang w:val="en-GB"/>
        </w:rPr>
        <w:t>11</w:t>
      </w:r>
      <w:r w:rsidRPr="006B4588">
        <w:rPr>
          <w:lang w:val="en-GB"/>
        </w:rPr>
        <w:t xml:space="preserve"> This study aimed to assess RSV testing patterns and the associated hospital burden in Central Queensland, providing valuable insights to inform improved diagnostic practices, resource allocation, and preparedness for future RSV outbreaks.</w:t>
      </w:r>
    </w:p>
    <w:p w14:paraId="0F212837" w14:textId="77777777" w:rsidR="008A0736" w:rsidRDefault="008A0736" w:rsidP="008A0736">
      <w:pPr>
        <w:pStyle w:val="Heading1"/>
        <w:divId w:val="935526654"/>
        <w:rPr>
          <w:lang w:val="en-GB"/>
        </w:rPr>
      </w:pPr>
      <w:r>
        <w:rPr>
          <w:lang w:val="en-GB"/>
        </w:rPr>
        <w:t>Methods</w:t>
      </w:r>
    </w:p>
    <w:p w14:paraId="06108EE4" w14:textId="37FD2745" w:rsidR="008A0736" w:rsidRDefault="006B4588" w:rsidP="006B4588">
      <w:pPr>
        <w:pStyle w:val="Heading2-lessspacebefore"/>
        <w:divId w:val="935526654"/>
      </w:pPr>
      <w:r>
        <w:t>Study design</w:t>
      </w:r>
    </w:p>
    <w:p w14:paraId="4E786F55" w14:textId="77777777" w:rsidR="006B4588" w:rsidRPr="006B4588" w:rsidRDefault="006B4588" w:rsidP="006B4588">
      <w:pPr>
        <w:divId w:val="935526654"/>
        <w:rPr>
          <w:lang w:val="en-GB"/>
        </w:rPr>
      </w:pPr>
      <w:r w:rsidRPr="006B4588">
        <w:rPr>
          <w:lang w:val="en-GB"/>
        </w:rPr>
        <w:t>This was a hospital-based study of RSV, utilising data from the Hospital Based Corporate Information System (HBCIS) and AUSLAB (i.e. Pathology Queensland).</w:t>
      </w:r>
    </w:p>
    <w:p w14:paraId="0224E430" w14:textId="479A884B" w:rsidR="006B4588" w:rsidRDefault="006B4588" w:rsidP="006B4588">
      <w:pPr>
        <w:pStyle w:val="Heading2"/>
        <w:divId w:val="935526654"/>
      </w:pPr>
      <w:r>
        <w:t>Population and study setting</w:t>
      </w:r>
    </w:p>
    <w:p w14:paraId="1AA3E234" w14:textId="77777777" w:rsidR="006B4588" w:rsidRPr="006B4588" w:rsidRDefault="006B4588" w:rsidP="006B4588">
      <w:pPr>
        <w:divId w:val="935526654"/>
        <w:rPr>
          <w:lang w:val="en-GB"/>
        </w:rPr>
      </w:pPr>
      <w:r w:rsidRPr="006B4588">
        <w:rPr>
          <w:lang w:val="en-GB"/>
        </w:rPr>
        <w:t>The study was conducted within the Central Queensland Hospital and Health Service (CQHHS) catchment area, which covers a population of 238,231 over a large geographical area of 117,800 square kilometres.</w:t>
      </w:r>
      <w:r w:rsidRPr="006B4588">
        <w:rPr>
          <w:vertAlign w:val="superscript"/>
          <w:lang w:val="en-GB"/>
        </w:rPr>
        <w:t>12</w:t>
      </w:r>
      <w:r w:rsidRPr="006B4588">
        <w:rPr>
          <w:lang w:val="en-GB"/>
        </w:rPr>
        <w:t xml:space="preserve"> Approximately 7.2% of the population identify as Aboriginal and Torres Strait Islander people, of whom 12.4% are aged under five years.</w:t>
      </w:r>
      <w:r w:rsidRPr="006B4588">
        <w:rPr>
          <w:vertAlign w:val="superscript"/>
          <w:lang w:val="en-GB"/>
        </w:rPr>
        <w:t>12</w:t>
      </w:r>
      <w:r w:rsidRPr="006B4588">
        <w:rPr>
          <w:lang w:val="en-GB"/>
        </w:rPr>
        <w:t xml:space="preserve"> CQHHS operates 12 public hospitals and provides services for Aboriginal and Torres Strait Islander health, maternity, cancer care, mental health, alcohol and other drugs, oral health, general practitioner (GP) referrals, outreach specialists and more.</w:t>
      </w:r>
      <w:r w:rsidRPr="006B4588">
        <w:rPr>
          <w:vertAlign w:val="superscript"/>
          <w:lang w:val="en-GB"/>
        </w:rPr>
        <w:t>13</w:t>
      </w:r>
      <w:r w:rsidRPr="006B4588">
        <w:rPr>
          <w:lang w:val="en-GB"/>
        </w:rPr>
        <w:t xml:space="preserve"> Central Queensland has a subtropical climate with hot, wet summers and warm, dry winters with an average annual temperature of 21 °C.</w:t>
      </w:r>
      <w:r w:rsidRPr="006B4588">
        <w:rPr>
          <w:vertAlign w:val="superscript"/>
          <w:lang w:val="en-GB"/>
        </w:rPr>
        <w:t>11</w:t>
      </w:r>
    </w:p>
    <w:p w14:paraId="6EFC7E9E" w14:textId="6F74A18F" w:rsidR="006B4588" w:rsidRDefault="006B4588" w:rsidP="006B4588">
      <w:pPr>
        <w:pStyle w:val="Heading2"/>
        <w:divId w:val="935526654"/>
      </w:pPr>
      <w:r>
        <w:t>Eligibility criteria</w:t>
      </w:r>
    </w:p>
    <w:p w14:paraId="4C782A06" w14:textId="77777777" w:rsidR="006B4588" w:rsidRPr="006B4588" w:rsidRDefault="006B4588" w:rsidP="006B4588">
      <w:pPr>
        <w:divId w:val="935526654"/>
        <w:rPr>
          <w:lang w:val="en-GB"/>
        </w:rPr>
      </w:pPr>
      <w:r w:rsidRPr="006B4588">
        <w:rPr>
          <w:lang w:val="en-GB"/>
        </w:rPr>
        <w:t xml:space="preserve">Individuals presenting to or admitted at any CQHHS hospitals between 1 January 2018 and 31 December 2023 were eligible for inclusion. Participants were required to have either a laboratory-confirmed diagnosis of RSV or a primary/secondary diagnosis of RSV based on the </w:t>
      </w:r>
      <w:r w:rsidRPr="006B4588">
        <w:rPr>
          <w:i/>
          <w:iCs/>
          <w:lang w:val="en-GB"/>
        </w:rPr>
        <w:t>International Classification of Diseases, Tenth Revision, Australian Modification (ICD-10-AM)</w:t>
      </w:r>
      <w:r w:rsidRPr="006B4588">
        <w:rPr>
          <w:lang w:val="en-GB"/>
        </w:rPr>
        <w:t xml:space="preserve"> codes J12.1 (RSV pneumonia), J20.5 (RSV bronchitis), J21.0 (RSV bronchiolitis), or B97.4 (RSV as a cause of diseases classified elsewhere). </w:t>
      </w:r>
    </w:p>
    <w:p w14:paraId="0E77AF9D" w14:textId="39CAD00B" w:rsidR="006B4588" w:rsidRDefault="008709BC" w:rsidP="008709BC">
      <w:pPr>
        <w:pStyle w:val="Heading2"/>
        <w:divId w:val="935526654"/>
      </w:pPr>
      <w:r>
        <w:lastRenderedPageBreak/>
        <w:t>Data sources and collection</w:t>
      </w:r>
    </w:p>
    <w:p w14:paraId="21F1222D" w14:textId="35DBCF9D" w:rsidR="006B4588" w:rsidRDefault="008709BC" w:rsidP="008709BC">
      <w:pPr>
        <w:pStyle w:val="Heading3-lessspacebefore"/>
        <w:divId w:val="935526654"/>
      </w:pPr>
      <w:r>
        <w:t>Retrospective phase (January 2018</w:t>
      </w:r>
      <w:r w:rsidRPr="008709BC">
        <w:t xml:space="preserve"> – December 2021)</w:t>
      </w:r>
    </w:p>
    <w:p w14:paraId="608F243A" w14:textId="77777777" w:rsidR="008709BC" w:rsidRPr="008709BC" w:rsidRDefault="008709BC" w:rsidP="008709BC">
      <w:pPr>
        <w:divId w:val="935526654"/>
        <w:rPr>
          <w:lang w:val="en-GB"/>
        </w:rPr>
      </w:pPr>
      <w:r w:rsidRPr="008709BC">
        <w:rPr>
          <w:lang w:val="en-GB"/>
        </w:rPr>
        <w:t>Demographic and clinical data were extracted from the HBCIS and Pathology Queensland databases.</w:t>
      </w:r>
    </w:p>
    <w:p w14:paraId="5E9A5EA2" w14:textId="4E5D6485" w:rsidR="008709BC" w:rsidRDefault="008709BC" w:rsidP="008709BC">
      <w:pPr>
        <w:pStyle w:val="Heading3"/>
        <w:divId w:val="935526654"/>
      </w:pPr>
      <w:r w:rsidRPr="008709BC">
        <w:t>Prospective phase (January 2022 – December 2023)</w:t>
      </w:r>
    </w:p>
    <w:p w14:paraId="26D0102A" w14:textId="77777777" w:rsidR="008709BC" w:rsidRPr="008709BC" w:rsidRDefault="008709BC" w:rsidP="008709BC">
      <w:pPr>
        <w:divId w:val="935526654"/>
        <w:rPr>
          <w:lang w:val="en-GB"/>
        </w:rPr>
      </w:pPr>
      <w:r w:rsidRPr="008709BC">
        <w:rPr>
          <w:lang w:val="en-GB"/>
        </w:rPr>
        <w:t>During the prospective phase, the Central Queensland Public Health Unit communicated with CQHHS hospitals, multipurpose health centres, residential aged care facilities and pathologies to identify individuals with respiratory symptoms (e.g., cough, sore throat, runny nose, fever) and encourage testing for RSV using multiplex PCR assays. These assays screened for coronavirus disease 2019 (COVID-19); influenza; RSV; parainfluenza; adenovirus; human metapneumovirus and rhinovirus. Data were extracted weekly from the same sources. Population data were extracted from the InfoBank of the Queensland Government.</w:t>
      </w:r>
      <w:r w:rsidRPr="008709BC">
        <w:rPr>
          <w:vertAlign w:val="superscript"/>
          <w:lang w:val="en-GB"/>
        </w:rPr>
        <w:t>14</w:t>
      </w:r>
    </w:p>
    <w:p w14:paraId="5D454BB8" w14:textId="77131C47" w:rsidR="008709BC" w:rsidRDefault="008709BC" w:rsidP="008709BC">
      <w:pPr>
        <w:pStyle w:val="Heading2"/>
        <w:divId w:val="935526654"/>
      </w:pPr>
      <w:r w:rsidRPr="008709BC">
        <w:t>Data management and statistical analysis</w:t>
      </w:r>
    </w:p>
    <w:p w14:paraId="6F32E337" w14:textId="77777777" w:rsidR="008709BC" w:rsidRPr="008709BC" w:rsidRDefault="008709BC" w:rsidP="008709BC">
      <w:pPr>
        <w:divId w:val="935526654"/>
        <w:rPr>
          <w:lang w:val="en-GB"/>
        </w:rPr>
      </w:pPr>
      <w:r w:rsidRPr="008709BC">
        <w:rPr>
          <w:lang w:val="en-GB"/>
        </w:rPr>
        <w:t>Data from 2018–2021 were extracted once, while prospective data (2022–2023) were collected weekly. RSV hospital admission data were extracted from HBCIS using the relevant ICD-10-AM codes (J12.1, J20.5, J21.0, B97.4). RSV PCR test data (test numbers and positive results) for Central Queensland postcodes were extracted from AUSLAB.</w:t>
      </w:r>
    </w:p>
    <w:p w14:paraId="4F676AF6" w14:textId="77777777" w:rsidR="008709BC" w:rsidRPr="008709BC" w:rsidRDefault="008709BC" w:rsidP="008709BC">
      <w:pPr>
        <w:divId w:val="935526654"/>
        <w:rPr>
          <w:lang w:val="en-GB"/>
        </w:rPr>
      </w:pPr>
      <w:r w:rsidRPr="008709BC">
        <w:rPr>
          <w:lang w:val="en-GB"/>
        </w:rPr>
        <w:t>Duplicate cases were initially identified and removed using the unique identifier from the database (UR Number). Cases readmitted within 48 hours with identical ICD-10-AM codes were considered part of the same admission episode and removed to avoid redundancy. The final de-duplicated dataset was then de-identified and securely stored on encrypted hard drives within the Queensland Health network and were accessible only to the study team.</w:t>
      </w:r>
    </w:p>
    <w:p w14:paraId="0A845122" w14:textId="11294BA3" w:rsidR="008709BC" w:rsidRDefault="008709BC" w:rsidP="008709BC">
      <w:pPr>
        <w:rPr>
          <w:lang w:val="en-GB"/>
        </w:rPr>
      </w:pPr>
      <w:r w:rsidRPr="008709BC">
        <w:rPr>
          <w:lang w:val="en-GB"/>
        </w:rPr>
        <w:t xml:space="preserve">Descriptive statistics (e.g., frequencies, proportions) were used to summarise RSV cases and hospitalisations. Hospitalisation rates were calculated by dividing the number of admissions by the age-specific population data and multiplying by 1,000 for each year. Incidence rate ratios (IRR) with 95% confidence interval (95% CI) were computed for hospitalisation rates between the retrospective study period (2018–2021) and the prospective study period (2022–2023). Test positivity rates were determined by dividing the number of positive RSV tests by the total number of tests, expressed as a percentage. Statistical significance was defined as </w:t>
      </w:r>
      <w:r w:rsidRPr="008709BC">
        <w:rPr>
          <w:i/>
          <w:iCs/>
          <w:lang w:val="en-GB"/>
        </w:rPr>
        <w:t>p</w:t>
      </w:r>
      <w:r w:rsidRPr="008709BC">
        <w:rPr>
          <w:lang w:val="en-GB"/>
        </w:rPr>
        <w:t xml:space="preserve"> &lt; 0.05.</w:t>
      </w:r>
      <w:r>
        <w:rPr>
          <w:lang w:val="en-GB"/>
        </w:rPr>
        <w:br w:type="page"/>
      </w:r>
    </w:p>
    <w:p w14:paraId="44466A30" w14:textId="77777777" w:rsidR="008A0736" w:rsidRDefault="008A0736" w:rsidP="008A0736">
      <w:pPr>
        <w:pStyle w:val="Heading1"/>
        <w:divId w:val="935526654"/>
        <w:rPr>
          <w:lang w:val="en-GB"/>
        </w:rPr>
      </w:pPr>
      <w:r>
        <w:rPr>
          <w:lang w:val="en-GB"/>
        </w:rPr>
        <w:lastRenderedPageBreak/>
        <w:t>Results</w:t>
      </w:r>
    </w:p>
    <w:p w14:paraId="5C649777" w14:textId="0140D2FD" w:rsidR="008A0736" w:rsidRDefault="008709BC" w:rsidP="008709BC">
      <w:pPr>
        <w:pStyle w:val="Heading2-lessspacebefore"/>
        <w:divId w:val="935526654"/>
      </w:pPr>
      <w:r w:rsidRPr="008709BC">
        <w:t>RSV hospitalisation</w:t>
      </w:r>
    </w:p>
    <w:p w14:paraId="03F53B91" w14:textId="441C1832" w:rsidR="008709BC" w:rsidRPr="008709BC" w:rsidRDefault="008709BC" w:rsidP="008709BC">
      <w:pPr>
        <w:divId w:val="935526654"/>
        <w:rPr>
          <w:lang w:val="en-GB"/>
        </w:rPr>
      </w:pPr>
      <w:r w:rsidRPr="008709BC">
        <w:rPr>
          <w:lang w:val="en-GB"/>
        </w:rPr>
        <w:t>During 2018–2023, a total of 1,279 hospitalisations were recorded with RSV-related ICD codes in Central Queensland. Of these, 52.0% (n = 665/1,279 cases) were attributed to RSV as a primary cause. Hospitalisations were most common in infants under 12 months of age (n = 491/1,279; 38.4%), followed by children aged 1–5 years (n = 464/1,279; 36.3%), and older adults aged 60 years and above (228/1,279; 17.8%). Males accounted for a majority of cases (n = 681/1,279; 53.2%), while 21.0% of hospitalisations (n</w:t>
      </w:r>
      <w:r>
        <w:rPr>
          <w:lang w:val="en-GB"/>
        </w:rPr>
        <w:t> </w:t>
      </w:r>
      <w:r w:rsidRPr="008709BC">
        <w:rPr>
          <w:lang w:val="en-GB"/>
        </w:rPr>
        <w:t>=</w:t>
      </w:r>
      <w:r>
        <w:rPr>
          <w:lang w:val="en-GB"/>
        </w:rPr>
        <w:t> </w:t>
      </w:r>
      <w:r w:rsidRPr="008709BC">
        <w:rPr>
          <w:lang w:val="en-GB"/>
        </w:rPr>
        <w:t>268/1,279) occurred in Indigenous individuals (Table 1).</w:t>
      </w:r>
    </w:p>
    <w:p w14:paraId="61BB36F7" w14:textId="1805DF5C" w:rsidR="008709BC" w:rsidRDefault="008709BC" w:rsidP="008709BC">
      <w:pPr>
        <w:pStyle w:val="CDITable-Title"/>
        <w:divId w:val="935526654"/>
      </w:pPr>
      <w:r w:rsidRPr="008709BC">
        <w:t>Table 1: Number and proportion of RSV hospital admissions between 2018 and 2023 in Central Queensland</w:t>
      </w:r>
    </w:p>
    <w:tbl>
      <w:tblPr>
        <w:tblW w:w="0" w:type="auto"/>
        <w:tblLayout w:type="fixed"/>
        <w:tblCellMar>
          <w:left w:w="0" w:type="dxa"/>
          <w:right w:w="0" w:type="dxa"/>
        </w:tblCellMar>
        <w:tblLook w:val="0000" w:firstRow="0" w:lastRow="0" w:firstColumn="0" w:lastColumn="0" w:noHBand="0" w:noVBand="0"/>
        <w:tblCaption w:val="Table 1: Number and proportion of RSV hospital admissions between 2018 and 2023 in Central Queensland"/>
        <w:tblDescription w:val="Table 1 displays the number of overall hospital admissions, hospital admissions with RSV as the primary diagnosis, and hospital admissions with RSV as a secondary diagnosis, categorised by age groups, sex, and Indigenous status in Central Queensland."/>
      </w:tblPr>
      <w:tblGrid>
        <w:gridCol w:w="1304"/>
        <w:gridCol w:w="1474"/>
        <w:gridCol w:w="1143"/>
        <w:gridCol w:w="1144"/>
        <w:gridCol w:w="1143"/>
        <w:gridCol w:w="1143"/>
        <w:gridCol w:w="1143"/>
        <w:gridCol w:w="1144"/>
      </w:tblGrid>
      <w:tr w:rsidR="008709BC" w:rsidRPr="008709BC" w14:paraId="05766100" w14:textId="77777777" w:rsidTr="008709BC">
        <w:trPr>
          <w:divId w:val="935526654"/>
          <w:trHeight w:val="20"/>
          <w:tblHeader/>
        </w:trPr>
        <w:tc>
          <w:tcPr>
            <w:tcW w:w="1304" w:type="dxa"/>
            <w:vMerge w:val="restart"/>
            <w:shd w:val="clear" w:color="auto" w:fill="033636" w:themeFill="text2"/>
            <w:tcMar>
              <w:top w:w="113" w:type="dxa"/>
              <w:left w:w="113" w:type="dxa"/>
              <w:bottom w:w="113" w:type="dxa"/>
              <w:right w:w="113" w:type="dxa"/>
            </w:tcMar>
            <w:vAlign w:val="bottom"/>
          </w:tcPr>
          <w:p w14:paraId="092520CF" w14:textId="77777777" w:rsidR="008709BC" w:rsidRPr="008709BC" w:rsidRDefault="008709BC" w:rsidP="008709BC">
            <w:pPr>
              <w:pStyle w:val="CDITable-HeaderRowLeft"/>
            </w:pPr>
            <w:r w:rsidRPr="008709BC">
              <w:t>Category</w:t>
            </w:r>
          </w:p>
        </w:tc>
        <w:tc>
          <w:tcPr>
            <w:tcW w:w="1474" w:type="dxa"/>
            <w:vMerge w:val="restart"/>
            <w:shd w:val="clear" w:color="auto" w:fill="033636" w:themeFill="text2"/>
            <w:tcMar>
              <w:top w:w="113" w:type="dxa"/>
              <w:left w:w="113" w:type="dxa"/>
              <w:bottom w:w="113" w:type="dxa"/>
              <w:right w:w="113" w:type="dxa"/>
            </w:tcMar>
            <w:vAlign w:val="bottom"/>
          </w:tcPr>
          <w:p w14:paraId="7068699B" w14:textId="77777777" w:rsidR="008709BC" w:rsidRPr="008709BC" w:rsidRDefault="008709BC" w:rsidP="008709BC">
            <w:pPr>
              <w:pStyle w:val="CDITable-HeaderRowLeft"/>
            </w:pPr>
            <w:r w:rsidRPr="008709BC">
              <w:t>Characteristics</w:t>
            </w:r>
          </w:p>
        </w:tc>
        <w:tc>
          <w:tcPr>
            <w:tcW w:w="6860"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0A8594A" w14:textId="77777777" w:rsidR="008709BC" w:rsidRPr="008709BC" w:rsidRDefault="008709BC" w:rsidP="008709BC">
            <w:pPr>
              <w:pStyle w:val="CDITable-HeaderRowCentre"/>
            </w:pPr>
            <w:r w:rsidRPr="008709BC">
              <w:t>Hospital admission category</w:t>
            </w:r>
          </w:p>
        </w:tc>
      </w:tr>
      <w:tr w:rsidR="008709BC" w:rsidRPr="008709BC" w14:paraId="3C0AA271" w14:textId="77777777" w:rsidTr="005A3253">
        <w:trPr>
          <w:divId w:val="935526654"/>
          <w:trHeight w:val="20"/>
          <w:tblHeader/>
        </w:trPr>
        <w:tc>
          <w:tcPr>
            <w:tcW w:w="1304" w:type="dxa"/>
            <w:vMerge/>
            <w:shd w:val="clear" w:color="auto" w:fill="033636" w:themeFill="text2"/>
          </w:tcPr>
          <w:p w14:paraId="2973ECE2" w14:textId="77777777" w:rsidR="008709BC" w:rsidRPr="008709BC" w:rsidRDefault="008709BC" w:rsidP="008709BC"/>
        </w:tc>
        <w:tc>
          <w:tcPr>
            <w:tcW w:w="1474" w:type="dxa"/>
            <w:vMerge/>
            <w:shd w:val="clear" w:color="auto" w:fill="033636" w:themeFill="text2"/>
          </w:tcPr>
          <w:p w14:paraId="5F535033" w14:textId="77777777" w:rsidR="008709BC" w:rsidRPr="008709BC" w:rsidRDefault="008709BC" w:rsidP="008709BC"/>
        </w:tc>
        <w:tc>
          <w:tcPr>
            <w:tcW w:w="2287" w:type="dxa"/>
            <w:gridSpan w:val="2"/>
            <w:tcBorders>
              <w:top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1A3893EA" w14:textId="77777777" w:rsidR="008709BC" w:rsidRPr="008709BC" w:rsidRDefault="008709BC" w:rsidP="008709BC">
            <w:pPr>
              <w:pStyle w:val="CDITable-HeaderRowCentre"/>
            </w:pPr>
            <w:r w:rsidRPr="008709BC">
              <w:t>Overall</w:t>
            </w:r>
            <w:r w:rsidRPr="008709BC">
              <w:br/>
              <w:t>(N = 1,279)</w:t>
            </w:r>
          </w:p>
        </w:tc>
        <w:tc>
          <w:tcPr>
            <w:tcW w:w="2286" w:type="dxa"/>
            <w:gridSpan w:val="2"/>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078F3441" w14:textId="77777777" w:rsidR="008709BC" w:rsidRPr="008709BC" w:rsidRDefault="008709BC" w:rsidP="008709BC">
            <w:pPr>
              <w:pStyle w:val="CDITable-HeaderRowCentre"/>
            </w:pPr>
            <w:r w:rsidRPr="008709BC">
              <w:t xml:space="preserve">RSV as a </w:t>
            </w:r>
            <w:r w:rsidRPr="008709BC">
              <w:br/>
              <w:t>primary diagnosis</w:t>
            </w:r>
            <w:r w:rsidRPr="008709BC">
              <w:br/>
              <w:t>(N = 665)</w:t>
            </w:r>
          </w:p>
        </w:tc>
        <w:tc>
          <w:tcPr>
            <w:tcW w:w="2287" w:type="dxa"/>
            <w:gridSpan w:val="2"/>
            <w:tcBorders>
              <w:top w:val="single" w:sz="6" w:space="0" w:color="FFFFFF" w:themeColor="background1"/>
              <w:left w:val="single" w:sz="6" w:space="0" w:color="FFFFFF" w:themeColor="background1"/>
            </w:tcBorders>
            <w:shd w:val="clear" w:color="auto" w:fill="033636" w:themeFill="text2"/>
            <w:tcMar>
              <w:top w:w="113" w:type="dxa"/>
              <w:left w:w="113" w:type="dxa"/>
              <w:bottom w:w="57" w:type="dxa"/>
              <w:right w:w="113" w:type="dxa"/>
            </w:tcMar>
            <w:vAlign w:val="bottom"/>
          </w:tcPr>
          <w:p w14:paraId="1BD45697" w14:textId="77777777" w:rsidR="008709BC" w:rsidRPr="008709BC" w:rsidRDefault="008709BC" w:rsidP="008709BC">
            <w:pPr>
              <w:pStyle w:val="CDITable-HeaderRowCentre"/>
            </w:pPr>
            <w:r w:rsidRPr="008709BC">
              <w:t xml:space="preserve">RSV as a </w:t>
            </w:r>
            <w:r w:rsidRPr="008709BC">
              <w:br/>
              <w:t>secondary diagnosis</w:t>
            </w:r>
            <w:r w:rsidRPr="008709BC">
              <w:rPr>
                <w:vertAlign w:val="superscript"/>
              </w:rPr>
              <w:t>a</w:t>
            </w:r>
            <w:r w:rsidRPr="008709BC">
              <w:br/>
              <w:t>(N = 614)</w:t>
            </w:r>
          </w:p>
        </w:tc>
      </w:tr>
      <w:tr w:rsidR="008709BC" w:rsidRPr="008709BC" w14:paraId="5A29FA64" w14:textId="77777777" w:rsidTr="005A3253">
        <w:trPr>
          <w:divId w:val="935526654"/>
          <w:trHeight w:val="20"/>
          <w:tblHeader/>
        </w:trPr>
        <w:tc>
          <w:tcPr>
            <w:tcW w:w="1304" w:type="dxa"/>
            <w:vMerge/>
            <w:shd w:val="clear" w:color="auto" w:fill="033636" w:themeFill="text2"/>
          </w:tcPr>
          <w:p w14:paraId="7F069CBE" w14:textId="77777777" w:rsidR="008709BC" w:rsidRPr="008709BC" w:rsidRDefault="008709BC" w:rsidP="008709BC"/>
        </w:tc>
        <w:tc>
          <w:tcPr>
            <w:tcW w:w="1474" w:type="dxa"/>
            <w:vMerge/>
            <w:shd w:val="clear" w:color="auto" w:fill="033636" w:themeFill="text2"/>
          </w:tcPr>
          <w:p w14:paraId="3BB8211B" w14:textId="77777777" w:rsidR="008709BC" w:rsidRPr="008709BC" w:rsidRDefault="008709BC" w:rsidP="008709BC"/>
        </w:tc>
        <w:tc>
          <w:tcPr>
            <w:tcW w:w="1143" w:type="dxa"/>
            <w:shd w:val="clear" w:color="auto" w:fill="033636" w:themeFill="text2"/>
            <w:tcMar>
              <w:top w:w="57" w:type="dxa"/>
              <w:left w:w="113" w:type="dxa"/>
              <w:bottom w:w="113" w:type="dxa"/>
              <w:right w:w="113" w:type="dxa"/>
            </w:tcMar>
            <w:vAlign w:val="bottom"/>
          </w:tcPr>
          <w:p w14:paraId="21DADADB" w14:textId="77777777" w:rsidR="008709BC" w:rsidRPr="008709BC" w:rsidRDefault="008709BC" w:rsidP="00806E41">
            <w:pPr>
              <w:pStyle w:val="CDITable-HeaderRowCentre"/>
            </w:pPr>
            <w:r w:rsidRPr="008709BC">
              <w:t>n</w:t>
            </w:r>
          </w:p>
        </w:tc>
        <w:tc>
          <w:tcPr>
            <w:tcW w:w="1144"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640AD96D" w14:textId="77777777" w:rsidR="008709BC" w:rsidRPr="008709BC" w:rsidRDefault="008709BC" w:rsidP="00806E41">
            <w:pPr>
              <w:pStyle w:val="CDITable-HeaderRowCentre"/>
            </w:pPr>
            <w:r w:rsidRPr="008709BC">
              <w:t>%</w:t>
            </w:r>
          </w:p>
        </w:tc>
        <w:tc>
          <w:tcPr>
            <w:tcW w:w="1143"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0F440A96" w14:textId="77777777" w:rsidR="008709BC" w:rsidRPr="008709BC" w:rsidRDefault="008709BC" w:rsidP="00806E41">
            <w:pPr>
              <w:pStyle w:val="CDITable-HeaderRowCentre"/>
            </w:pPr>
            <w:r w:rsidRPr="008709BC">
              <w:t>n</w:t>
            </w:r>
          </w:p>
        </w:tc>
        <w:tc>
          <w:tcPr>
            <w:tcW w:w="1143"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4056C3C1" w14:textId="77777777" w:rsidR="008709BC" w:rsidRPr="008709BC" w:rsidRDefault="008709BC" w:rsidP="00806E41">
            <w:pPr>
              <w:pStyle w:val="CDITable-HeaderRowCentre"/>
            </w:pPr>
            <w:r w:rsidRPr="008709BC">
              <w:t>%</w:t>
            </w:r>
          </w:p>
        </w:tc>
        <w:tc>
          <w:tcPr>
            <w:tcW w:w="1143"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5BA0A3D8" w14:textId="77777777" w:rsidR="008709BC" w:rsidRPr="008709BC" w:rsidRDefault="008709BC" w:rsidP="00806E41">
            <w:pPr>
              <w:pStyle w:val="CDITable-HeaderRowCentre"/>
            </w:pPr>
            <w:r w:rsidRPr="008709BC">
              <w:t>n</w:t>
            </w:r>
          </w:p>
        </w:tc>
        <w:tc>
          <w:tcPr>
            <w:tcW w:w="1144" w:type="dxa"/>
            <w:shd w:val="clear" w:color="auto" w:fill="033636" w:themeFill="text2"/>
            <w:tcMar>
              <w:top w:w="57" w:type="dxa"/>
              <w:left w:w="113" w:type="dxa"/>
              <w:bottom w:w="113" w:type="dxa"/>
              <w:right w:w="113" w:type="dxa"/>
            </w:tcMar>
            <w:vAlign w:val="bottom"/>
          </w:tcPr>
          <w:p w14:paraId="3CBA826A" w14:textId="77777777" w:rsidR="008709BC" w:rsidRPr="008709BC" w:rsidRDefault="008709BC" w:rsidP="00806E41">
            <w:pPr>
              <w:pStyle w:val="CDITable-HeaderRowCentre"/>
            </w:pPr>
            <w:r w:rsidRPr="008709BC">
              <w:t>%</w:t>
            </w:r>
          </w:p>
        </w:tc>
      </w:tr>
      <w:tr w:rsidR="008709BC" w:rsidRPr="008709BC" w14:paraId="4719E1A4" w14:textId="77777777" w:rsidTr="00806E41">
        <w:trPr>
          <w:divId w:val="935526654"/>
          <w:trHeight w:val="20"/>
        </w:trPr>
        <w:tc>
          <w:tcPr>
            <w:tcW w:w="1304" w:type="dxa"/>
            <w:vMerge w:val="restart"/>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777BF06" w14:textId="77777777" w:rsidR="008709BC" w:rsidRPr="008709BC" w:rsidRDefault="008709BC" w:rsidP="008709BC">
            <w:pPr>
              <w:pStyle w:val="CDITable-RowLeft"/>
            </w:pPr>
            <w:r w:rsidRPr="008709BC">
              <w:t>Age (in years)</w:t>
            </w:r>
          </w:p>
        </w:tc>
        <w:tc>
          <w:tcPr>
            <w:tcW w:w="1474" w:type="dxa"/>
            <w:tcBorders>
              <w:bottom w:val="single" w:sz="6" w:space="0" w:color="033636" w:themeColor="text2"/>
            </w:tcBorders>
            <w:tcMar>
              <w:top w:w="113" w:type="dxa"/>
              <w:left w:w="113" w:type="dxa"/>
              <w:bottom w:w="113" w:type="dxa"/>
              <w:right w:w="113" w:type="dxa"/>
            </w:tcMar>
            <w:vAlign w:val="center"/>
          </w:tcPr>
          <w:p w14:paraId="67E803D9" w14:textId="77777777" w:rsidR="008709BC" w:rsidRPr="008709BC" w:rsidRDefault="008709BC" w:rsidP="00806E41">
            <w:pPr>
              <w:pStyle w:val="CDITable-RowLeft"/>
            </w:pPr>
            <w:r w:rsidRPr="008709BC">
              <w:t>&lt; 1</w:t>
            </w:r>
          </w:p>
        </w:tc>
        <w:tc>
          <w:tcPr>
            <w:tcW w:w="1143" w:type="dxa"/>
            <w:tcBorders>
              <w:bottom w:val="single" w:sz="6" w:space="0" w:color="033636" w:themeColor="text2"/>
            </w:tcBorders>
            <w:tcMar>
              <w:top w:w="113" w:type="dxa"/>
              <w:left w:w="113" w:type="dxa"/>
              <w:bottom w:w="113" w:type="dxa"/>
              <w:right w:w="113" w:type="dxa"/>
            </w:tcMar>
            <w:vAlign w:val="center"/>
          </w:tcPr>
          <w:p w14:paraId="4AE87E4A" w14:textId="77777777" w:rsidR="008709BC" w:rsidRPr="008709BC" w:rsidRDefault="008709BC" w:rsidP="00806E41">
            <w:pPr>
              <w:pStyle w:val="CDITable-RowCentre"/>
            </w:pPr>
            <w:r w:rsidRPr="008709BC">
              <w:t>491</w:t>
            </w:r>
          </w:p>
        </w:tc>
        <w:tc>
          <w:tcPr>
            <w:tcW w:w="114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441AA48" w14:textId="77777777" w:rsidR="008709BC" w:rsidRPr="008709BC" w:rsidRDefault="008709BC" w:rsidP="00806E41">
            <w:pPr>
              <w:pStyle w:val="CDITable-RowCentre"/>
            </w:pPr>
            <w:r w:rsidRPr="008709BC">
              <w:t>38.4</w:t>
            </w:r>
          </w:p>
        </w:tc>
        <w:tc>
          <w:tcPr>
            <w:tcW w:w="114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62E7E58" w14:textId="77777777" w:rsidR="008709BC" w:rsidRPr="008709BC" w:rsidRDefault="008709BC" w:rsidP="00806E41">
            <w:pPr>
              <w:pStyle w:val="CDITable-RowCentre"/>
            </w:pPr>
            <w:r w:rsidRPr="008709BC">
              <w:t>386</w:t>
            </w:r>
          </w:p>
        </w:tc>
        <w:tc>
          <w:tcPr>
            <w:tcW w:w="114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0B1EF46" w14:textId="77777777" w:rsidR="008709BC" w:rsidRPr="008709BC" w:rsidRDefault="008709BC" w:rsidP="00806E41">
            <w:pPr>
              <w:pStyle w:val="CDITable-RowCentre"/>
            </w:pPr>
            <w:r w:rsidRPr="008709BC">
              <w:t>58.0</w:t>
            </w:r>
          </w:p>
        </w:tc>
        <w:tc>
          <w:tcPr>
            <w:tcW w:w="114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53553A0" w14:textId="77777777" w:rsidR="008709BC" w:rsidRPr="008709BC" w:rsidRDefault="008709BC" w:rsidP="00806E41">
            <w:pPr>
              <w:pStyle w:val="CDITable-RowCentre"/>
            </w:pPr>
            <w:r w:rsidRPr="008709BC">
              <w:t>105</w:t>
            </w:r>
          </w:p>
        </w:tc>
        <w:tc>
          <w:tcPr>
            <w:tcW w:w="1144" w:type="dxa"/>
            <w:tcBorders>
              <w:bottom w:val="single" w:sz="6" w:space="0" w:color="033636" w:themeColor="text2"/>
            </w:tcBorders>
            <w:tcMar>
              <w:top w:w="113" w:type="dxa"/>
              <w:left w:w="113" w:type="dxa"/>
              <w:bottom w:w="113" w:type="dxa"/>
              <w:right w:w="113" w:type="dxa"/>
            </w:tcMar>
            <w:vAlign w:val="center"/>
          </w:tcPr>
          <w:p w14:paraId="19D6236E" w14:textId="77777777" w:rsidR="008709BC" w:rsidRPr="008709BC" w:rsidRDefault="008709BC" w:rsidP="00806E41">
            <w:pPr>
              <w:pStyle w:val="CDITable-RowCentre"/>
            </w:pPr>
            <w:r w:rsidRPr="008709BC">
              <w:t>17.1</w:t>
            </w:r>
          </w:p>
        </w:tc>
      </w:tr>
      <w:tr w:rsidR="008709BC" w:rsidRPr="008709BC" w14:paraId="010BDB59"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46F230A3" w14:textId="77777777" w:rsidR="008709BC" w:rsidRPr="008709BC" w:rsidRDefault="008709BC" w:rsidP="008709BC">
            <w:pPr>
              <w:pStyle w:val="CDITable-RowLeft"/>
            </w:pPr>
          </w:p>
        </w:tc>
        <w:tc>
          <w:tcPr>
            <w:tcW w:w="147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40B1CF" w14:textId="77777777" w:rsidR="008709BC" w:rsidRPr="008709BC" w:rsidRDefault="008709BC" w:rsidP="00806E41">
            <w:pPr>
              <w:pStyle w:val="CDITable-RowLeft"/>
            </w:pPr>
            <w:r w:rsidRPr="008709BC">
              <w:t>1–5</w:t>
            </w:r>
          </w:p>
        </w:tc>
        <w:tc>
          <w:tcPr>
            <w:tcW w:w="114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F22ECF" w14:textId="77777777" w:rsidR="008709BC" w:rsidRPr="008709BC" w:rsidRDefault="008709BC" w:rsidP="00806E41">
            <w:pPr>
              <w:pStyle w:val="CDITable-RowCentre"/>
            </w:pPr>
            <w:r w:rsidRPr="008709BC">
              <w:t>464</w:t>
            </w:r>
          </w:p>
        </w:tc>
        <w:tc>
          <w:tcPr>
            <w:tcW w:w="114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5FAA884" w14:textId="77777777" w:rsidR="008709BC" w:rsidRPr="008709BC" w:rsidRDefault="008709BC" w:rsidP="00806E41">
            <w:pPr>
              <w:pStyle w:val="CDITable-RowCentre"/>
            </w:pPr>
            <w:r w:rsidRPr="008709BC">
              <w:t>36.3</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C1FD0AE" w14:textId="77777777" w:rsidR="008709BC" w:rsidRPr="008709BC" w:rsidRDefault="008709BC" w:rsidP="00806E41">
            <w:pPr>
              <w:pStyle w:val="CDITable-RowCentre"/>
            </w:pPr>
            <w:r w:rsidRPr="008709BC">
              <w:t>208</w:t>
            </w:r>
          </w:p>
        </w:tc>
        <w:tc>
          <w:tcPr>
            <w:tcW w:w="114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B957F72" w14:textId="77777777" w:rsidR="008709BC" w:rsidRPr="008709BC" w:rsidRDefault="008709BC" w:rsidP="00806E41">
            <w:pPr>
              <w:pStyle w:val="CDITable-RowCentre"/>
            </w:pPr>
            <w:r w:rsidRPr="008709BC">
              <w:t>31.3</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1472942" w14:textId="77777777" w:rsidR="008709BC" w:rsidRPr="008709BC" w:rsidRDefault="008709BC" w:rsidP="00806E41">
            <w:pPr>
              <w:pStyle w:val="CDITable-RowCentre"/>
            </w:pPr>
            <w:r w:rsidRPr="008709BC">
              <w:t>256</w:t>
            </w:r>
          </w:p>
        </w:tc>
        <w:tc>
          <w:tcPr>
            <w:tcW w:w="114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2069194" w14:textId="77777777" w:rsidR="008709BC" w:rsidRPr="008709BC" w:rsidRDefault="008709BC" w:rsidP="00806E41">
            <w:pPr>
              <w:pStyle w:val="CDITable-RowCentre"/>
            </w:pPr>
            <w:r w:rsidRPr="008709BC">
              <w:t>41.7</w:t>
            </w:r>
          </w:p>
        </w:tc>
      </w:tr>
      <w:tr w:rsidR="008709BC" w:rsidRPr="008709BC" w14:paraId="584555C7"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3EEA8D1F" w14:textId="77777777" w:rsidR="008709BC" w:rsidRPr="008709BC" w:rsidRDefault="008709BC" w:rsidP="008709BC">
            <w:pPr>
              <w:pStyle w:val="CDITable-RowLeft"/>
            </w:pPr>
          </w:p>
        </w:tc>
        <w:tc>
          <w:tcPr>
            <w:tcW w:w="147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734A30C" w14:textId="77777777" w:rsidR="008709BC" w:rsidRPr="008709BC" w:rsidRDefault="008709BC" w:rsidP="00806E41">
            <w:pPr>
              <w:pStyle w:val="CDITable-RowLeft"/>
            </w:pPr>
            <w:r w:rsidRPr="008709BC">
              <w:t>6–19</w:t>
            </w:r>
          </w:p>
        </w:tc>
        <w:tc>
          <w:tcPr>
            <w:tcW w:w="114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5FDEEC" w14:textId="77777777" w:rsidR="008709BC" w:rsidRPr="008709BC" w:rsidRDefault="008709BC" w:rsidP="00806E41">
            <w:pPr>
              <w:pStyle w:val="CDITable-RowCentre"/>
            </w:pPr>
            <w:r w:rsidRPr="008709BC">
              <w:t>27</w:t>
            </w:r>
          </w:p>
        </w:tc>
        <w:tc>
          <w:tcPr>
            <w:tcW w:w="114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DF7DC39" w14:textId="77777777" w:rsidR="008709BC" w:rsidRPr="008709BC" w:rsidRDefault="008709BC" w:rsidP="00806E41">
            <w:pPr>
              <w:pStyle w:val="CDITable-RowCentre"/>
            </w:pPr>
            <w:r w:rsidRPr="008709BC">
              <w:t>2.1</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8C86467" w14:textId="77777777" w:rsidR="008709BC" w:rsidRPr="008709BC" w:rsidRDefault="008709BC" w:rsidP="00806E41">
            <w:pPr>
              <w:pStyle w:val="CDITable-RowCentre"/>
            </w:pPr>
            <w:r w:rsidRPr="008709BC">
              <w:t>8</w:t>
            </w:r>
          </w:p>
        </w:tc>
        <w:tc>
          <w:tcPr>
            <w:tcW w:w="114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AC09A43" w14:textId="77777777" w:rsidR="008709BC" w:rsidRPr="008709BC" w:rsidRDefault="008709BC" w:rsidP="00806E41">
            <w:pPr>
              <w:pStyle w:val="CDITable-RowCentre"/>
            </w:pPr>
            <w:r w:rsidRPr="008709BC">
              <w:t>1.2</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9EAC3D2" w14:textId="77777777" w:rsidR="008709BC" w:rsidRPr="008709BC" w:rsidRDefault="008709BC" w:rsidP="00806E41">
            <w:pPr>
              <w:pStyle w:val="CDITable-RowCentre"/>
            </w:pPr>
            <w:r w:rsidRPr="008709BC">
              <w:t>19</w:t>
            </w:r>
          </w:p>
        </w:tc>
        <w:tc>
          <w:tcPr>
            <w:tcW w:w="114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673410" w14:textId="77777777" w:rsidR="008709BC" w:rsidRPr="008709BC" w:rsidRDefault="008709BC" w:rsidP="00806E41">
            <w:pPr>
              <w:pStyle w:val="CDITable-RowCentre"/>
            </w:pPr>
            <w:r w:rsidRPr="008709BC">
              <w:t>3.1</w:t>
            </w:r>
          </w:p>
        </w:tc>
      </w:tr>
      <w:tr w:rsidR="008709BC" w:rsidRPr="008709BC" w14:paraId="7507BF93"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76F898D1" w14:textId="77777777" w:rsidR="008709BC" w:rsidRPr="008709BC" w:rsidRDefault="008709BC" w:rsidP="008709BC">
            <w:pPr>
              <w:pStyle w:val="CDITable-RowLeft"/>
            </w:pPr>
          </w:p>
        </w:tc>
        <w:tc>
          <w:tcPr>
            <w:tcW w:w="147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A0B8ED9" w14:textId="77777777" w:rsidR="008709BC" w:rsidRPr="008709BC" w:rsidRDefault="008709BC" w:rsidP="00806E41">
            <w:pPr>
              <w:pStyle w:val="CDITable-RowLeft"/>
            </w:pPr>
            <w:r w:rsidRPr="008709BC">
              <w:t>20–59</w:t>
            </w:r>
          </w:p>
        </w:tc>
        <w:tc>
          <w:tcPr>
            <w:tcW w:w="114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873FDA9" w14:textId="77777777" w:rsidR="008709BC" w:rsidRPr="008709BC" w:rsidRDefault="008709BC" w:rsidP="00806E41">
            <w:pPr>
              <w:pStyle w:val="CDITable-RowCentre"/>
            </w:pPr>
            <w:r w:rsidRPr="008709BC">
              <w:t>69</w:t>
            </w:r>
          </w:p>
        </w:tc>
        <w:tc>
          <w:tcPr>
            <w:tcW w:w="114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4D72CA3" w14:textId="77777777" w:rsidR="008709BC" w:rsidRPr="008709BC" w:rsidRDefault="008709BC" w:rsidP="00806E41">
            <w:pPr>
              <w:pStyle w:val="CDITable-RowCentre"/>
            </w:pPr>
            <w:r w:rsidRPr="008709BC">
              <w:t>5.4</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DD846CE" w14:textId="77777777" w:rsidR="008709BC" w:rsidRPr="008709BC" w:rsidRDefault="008709BC" w:rsidP="00806E41">
            <w:pPr>
              <w:pStyle w:val="CDITable-RowCentre"/>
            </w:pPr>
            <w:r w:rsidRPr="008709BC">
              <w:t>15</w:t>
            </w:r>
          </w:p>
        </w:tc>
        <w:tc>
          <w:tcPr>
            <w:tcW w:w="114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D20FB4B" w14:textId="77777777" w:rsidR="008709BC" w:rsidRPr="008709BC" w:rsidRDefault="008709BC" w:rsidP="00806E41">
            <w:pPr>
              <w:pStyle w:val="CDITable-RowCentre"/>
            </w:pPr>
            <w:r w:rsidRPr="008709BC">
              <w:t>2.3</w:t>
            </w:r>
          </w:p>
        </w:tc>
        <w:tc>
          <w:tcPr>
            <w:tcW w:w="114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5553766" w14:textId="77777777" w:rsidR="008709BC" w:rsidRPr="008709BC" w:rsidRDefault="008709BC" w:rsidP="00806E41">
            <w:pPr>
              <w:pStyle w:val="CDITable-RowCentre"/>
            </w:pPr>
            <w:r w:rsidRPr="008709BC">
              <w:t>54</w:t>
            </w:r>
          </w:p>
        </w:tc>
        <w:tc>
          <w:tcPr>
            <w:tcW w:w="114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13B2504" w14:textId="77777777" w:rsidR="008709BC" w:rsidRPr="008709BC" w:rsidRDefault="008709BC" w:rsidP="00806E41">
            <w:pPr>
              <w:pStyle w:val="CDITable-RowCentre"/>
            </w:pPr>
            <w:r w:rsidRPr="008709BC">
              <w:t>8.8</w:t>
            </w:r>
          </w:p>
        </w:tc>
      </w:tr>
      <w:tr w:rsidR="008709BC" w:rsidRPr="008709BC" w14:paraId="1A48F459"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454D624A" w14:textId="77777777" w:rsidR="008709BC" w:rsidRPr="008709BC" w:rsidRDefault="008709BC" w:rsidP="008709BC">
            <w:pPr>
              <w:pStyle w:val="CDITable-RowLeft"/>
            </w:pPr>
          </w:p>
        </w:tc>
        <w:tc>
          <w:tcPr>
            <w:tcW w:w="147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4C07C56" w14:textId="77777777" w:rsidR="008709BC" w:rsidRPr="008709BC" w:rsidRDefault="008709BC" w:rsidP="00806E41">
            <w:pPr>
              <w:pStyle w:val="CDITable-RowLeft"/>
            </w:pPr>
            <w:r w:rsidRPr="008709BC">
              <w:t>≥ 60</w:t>
            </w:r>
          </w:p>
        </w:tc>
        <w:tc>
          <w:tcPr>
            <w:tcW w:w="114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76EC5B6" w14:textId="77777777" w:rsidR="008709BC" w:rsidRPr="008709BC" w:rsidRDefault="008709BC" w:rsidP="00806E41">
            <w:pPr>
              <w:pStyle w:val="CDITable-RowCentre"/>
            </w:pPr>
            <w:r w:rsidRPr="008709BC">
              <w:t>228</w:t>
            </w:r>
          </w:p>
        </w:tc>
        <w:tc>
          <w:tcPr>
            <w:tcW w:w="1144"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5FA3A21E" w14:textId="77777777" w:rsidR="008709BC" w:rsidRPr="008709BC" w:rsidRDefault="008709BC" w:rsidP="00806E41">
            <w:pPr>
              <w:pStyle w:val="CDITable-RowCentre"/>
            </w:pPr>
            <w:r w:rsidRPr="008709BC">
              <w:t>17.8</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238F5249" w14:textId="77777777" w:rsidR="008709BC" w:rsidRPr="008709BC" w:rsidRDefault="008709BC" w:rsidP="00806E41">
            <w:pPr>
              <w:pStyle w:val="CDITable-RowCentre"/>
            </w:pPr>
            <w:r w:rsidRPr="008709BC">
              <w:t>48</w:t>
            </w:r>
          </w:p>
        </w:tc>
        <w:tc>
          <w:tcPr>
            <w:tcW w:w="1143"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4C5477E3" w14:textId="77777777" w:rsidR="008709BC" w:rsidRPr="008709BC" w:rsidRDefault="008709BC" w:rsidP="00806E41">
            <w:pPr>
              <w:pStyle w:val="CDITable-RowCentre"/>
            </w:pPr>
            <w:r w:rsidRPr="008709BC">
              <w:t>7.2</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5F88103C" w14:textId="77777777" w:rsidR="008709BC" w:rsidRPr="008709BC" w:rsidRDefault="008709BC" w:rsidP="00806E41">
            <w:pPr>
              <w:pStyle w:val="CDITable-RowCentre"/>
            </w:pPr>
            <w:r w:rsidRPr="008709BC">
              <w:t>180</w:t>
            </w:r>
          </w:p>
        </w:tc>
        <w:tc>
          <w:tcPr>
            <w:tcW w:w="114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1E3C6A9" w14:textId="77777777" w:rsidR="008709BC" w:rsidRPr="008709BC" w:rsidRDefault="008709BC" w:rsidP="00806E41">
            <w:pPr>
              <w:pStyle w:val="CDITable-RowCentre"/>
            </w:pPr>
            <w:r w:rsidRPr="008709BC">
              <w:t>29.3</w:t>
            </w:r>
          </w:p>
        </w:tc>
      </w:tr>
      <w:tr w:rsidR="008709BC" w:rsidRPr="008709BC" w14:paraId="30222610" w14:textId="77777777" w:rsidTr="00806E41">
        <w:trPr>
          <w:divId w:val="935526654"/>
          <w:trHeight w:val="20"/>
        </w:trPr>
        <w:tc>
          <w:tcPr>
            <w:tcW w:w="1304"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BD2C196" w14:textId="77777777" w:rsidR="008709BC" w:rsidRPr="008709BC" w:rsidRDefault="008709BC" w:rsidP="008709BC">
            <w:pPr>
              <w:pStyle w:val="CDITable-RowLeft"/>
            </w:pPr>
            <w:r w:rsidRPr="008709BC">
              <w:t>Sex</w:t>
            </w:r>
          </w:p>
        </w:tc>
        <w:tc>
          <w:tcPr>
            <w:tcW w:w="1474"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5F59A4BB" w14:textId="77777777" w:rsidR="008709BC" w:rsidRPr="008709BC" w:rsidRDefault="008709BC" w:rsidP="00806E41">
            <w:pPr>
              <w:pStyle w:val="CDITable-RowLeft"/>
            </w:pPr>
            <w:r w:rsidRPr="008709BC">
              <w:t>Female</w:t>
            </w:r>
          </w:p>
        </w:tc>
        <w:tc>
          <w:tcPr>
            <w:tcW w:w="114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D1182E9" w14:textId="77777777" w:rsidR="008709BC" w:rsidRPr="008709BC" w:rsidRDefault="008709BC" w:rsidP="00806E41">
            <w:pPr>
              <w:pStyle w:val="CDITable-RowCentre"/>
            </w:pPr>
            <w:r w:rsidRPr="008709BC">
              <w:t>598</w:t>
            </w:r>
          </w:p>
        </w:tc>
        <w:tc>
          <w:tcPr>
            <w:tcW w:w="1144" w:type="dxa"/>
            <w:tcBorders>
              <w:top w:val="single" w:sz="8"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3D7EA7A" w14:textId="77777777" w:rsidR="008709BC" w:rsidRPr="008709BC" w:rsidRDefault="008709BC" w:rsidP="00806E41">
            <w:pPr>
              <w:pStyle w:val="CDITable-RowCentre"/>
            </w:pPr>
            <w:r w:rsidRPr="008709BC">
              <w:t>46.8</w:t>
            </w:r>
          </w:p>
        </w:tc>
        <w:tc>
          <w:tcPr>
            <w:tcW w:w="1143" w:type="dxa"/>
            <w:tcBorders>
              <w:top w:val="single" w:sz="8"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D4B2F40" w14:textId="77777777" w:rsidR="008709BC" w:rsidRPr="008709BC" w:rsidRDefault="008709BC" w:rsidP="00806E41">
            <w:pPr>
              <w:pStyle w:val="CDITable-RowCentre"/>
            </w:pPr>
            <w:r w:rsidRPr="008709BC">
              <w:t>311</w:t>
            </w:r>
          </w:p>
        </w:tc>
        <w:tc>
          <w:tcPr>
            <w:tcW w:w="1143" w:type="dxa"/>
            <w:tcBorders>
              <w:top w:val="single" w:sz="8"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8607781" w14:textId="77777777" w:rsidR="008709BC" w:rsidRPr="008709BC" w:rsidRDefault="008709BC" w:rsidP="00806E41">
            <w:pPr>
              <w:pStyle w:val="CDITable-RowCentre"/>
            </w:pPr>
            <w:r w:rsidRPr="008709BC">
              <w:t>46.8</w:t>
            </w:r>
          </w:p>
        </w:tc>
        <w:tc>
          <w:tcPr>
            <w:tcW w:w="1143" w:type="dxa"/>
            <w:tcBorders>
              <w:top w:val="single" w:sz="8"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7D54DC0" w14:textId="77777777" w:rsidR="008709BC" w:rsidRPr="008709BC" w:rsidRDefault="008709BC" w:rsidP="00806E41">
            <w:pPr>
              <w:pStyle w:val="CDITable-RowCentre"/>
            </w:pPr>
            <w:r w:rsidRPr="008709BC">
              <w:t>287</w:t>
            </w:r>
          </w:p>
        </w:tc>
        <w:tc>
          <w:tcPr>
            <w:tcW w:w="1144"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4D14C04D" w14:textId="77777777" w:rsidR="008709BC" w:rsidRPr="008709BC" w:rsidRDefault="008709BC" w:rsidP="00806E41">
            <w:pPr>
              <w:pStyle w:val="CDITable-RowCentre"/>
            </w:pPr>
            <w:r w:rsidRPr="008709BC">
              <w:t>46.7</w:t>
            </w:r>
          </w:p>
        </w:tc>
      </w:tr>
      <w:tr w:rsidR="008709BC" w:rsidRPr="008709BC" w14:paraId="5DBF4780"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291AF05B" w14:textId="77777777" w:rsidR="008709BC" w:rsidRPr="008709BC" w:rsidRDefault="008709BC" w:rsidP="008709BC">
            <w:pPr>
              <w:pStyle w:val="CDITable-RowLeft"/>
            </w:pPr>
          </w:p>
        </w:tc>
        <w:tc>
          <w:tcPr>
            <w:tcW w:w="147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983A3E9" w14:textId="77777777" w:rsidR="008709BC" w:rsidRPr="008709BC" w:rsidRDefault="008709BC" w:rsidP="00806E41">
            <w:pPr>
              <w:pStyle w:val="CDITable-RowLeft"/>
            </w:pPr>
            <w:r w:rsidRPr="008709BC">
              <w:t>Male</w:t>
            </w:r>
          </w:p>
        </w:tc>
        <w:tc>
          <w:tcPr>
            <w:tcW w:w="114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A33D4C0" w14:textId="77777777" w:rsidR="008709BC" w:rsidRPr="008709BC" w:rsidRDefault="008709BC" w:rsidP="00806E41">
            <w:pPr>
              <w:pStyle w:val="CDITable-RowCentre"/>
            </w:pPr>
            <w:r w:rsidRPr="008709BC">
              <w:t>681</w:t>
            </w:r>
          </w:p>
        </w:tc>
        <w:tc>
          <w:tcPr>
            <w:tcW w:w="1144"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51757894" w14:textId="77777777" w:rsidR="008709BC" w:rsidRPr="008709BC" w:rsidRDefault="008709BC" w:rsidP="00806E41">
            <w:pPr>
              <w:pStyle w:val="CDITable-RowCentre"/>
            </w:pPr>
            <w:r w:rsidRPr="008709BC">
              <w:t>53.2</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229FB3C3" w14:textId="77777777" w:rsidR="008709BC" w:rsidRPr="008709BC" w:rsidRDefault="008709BC" w:rsidP="00806E41">
            <w:pPr>
              <w:pStyle w:val="CDITable-RowCentre"/>
            </w:pPr>
            <w:r w:rsidRPr="008709BC">
              <w:t>354</w:t>
            </w:r>
          </w:p>
        </w:tc>
        <w:tc>
          <w:tcPr>
            <w:tcW w:w="1143"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63C00C31" w14:textId="77777777" w:rsidR="008709BC" w:rsidRPr="008709BC" w:rsidRDefault="008709BC" w:rsidP="00806E41">
            <w:pPr>
              <w:pStyle w:val="CDITable-RowCentre"/>
            </w:pPr>
            <w:r w:rsidRPr="008709BC">
              <w:t>53.2</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59A09129" w14:textId="77777777" w:rsidR="008709BC" w:rsidRPr="008709BC" w:rsidRDefault="008709BC" w:rsidP="00806E41">
            <w:pPr>
              <w:pStyle w:val="CDITable-RowCentre"/>
            </w:pPr>
            <w:r w:rsidRPr="008709BC">
              <w:t>327</w:t>
            </w:r>
          </w:p>
        </w:tc>
        <w:tc>
          <w:tcPr>
            <w:tcW w:w="114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FEDB82B" w14:textId="77777777" w:rsidR="008709BC" w:rsidRPr="008709BC" w:rsidRDefault="008709BC" w:rsidP="00806E41">
            <w:pPr>
              <w:pStyle w:val="CDITable-RowCentre"/>
            </w:pPr>
            <w:r w:rsidRPr="008709BC">
              <w:t>53.3</w:t>
            </w:r>
          </w:p>
        </w:tc>
      </w:tr>
      <w:tr w:rsidR="008709BC" w:rsidRPr="008709BC" w14:paraId="360DE5F7" w14:textId="77777777" w:rsidTr="00806E41">
        <w:trPr>
          <w:divId w:val="935526654"/>
          <w:trHeight w:val="20"/>
        </w:trPr>
        <w:tc>
          <w:tcPr>
            <w:tcW w:w="1304"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E26D956" w14:textId="77777777" w:rsidR="008709BC" w:rsidRPr="008709BC" w:rsidRDefault="008709BC" w:rsidP="008709BC">
            <w:pPr>
              <w:pStyle w:val="CDITable-RowLeft"/>
            </w:pPr>
            <w:r w:rsidRPr="008709BC">
              <w:t>Indigenous status</w:t>
            </w:r>
          </w:p>
        </w:tc>
        <w:tc>
          <w:tcPr>
            <w:tcW w:w="1474"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36C77EF" w14:textId="77777777" w:rsidR="008709BC" w:rsidRPr="008709BC" w:rsidRDefault="008709BC" w:rsidP="00806E41">
            <w:pPr>
              <w:pStyle w:val="CDITable-RowLeft"/>
            </w:pPr>
            <w:r w:rsidRPr="008709BC">
              <w:t>Aboriginal and/or Torres Strait Islander</w:t>
            </w:r>
          </w:p>
        </w:tc>
        <w:tc>
          <w:tcPr>
            <w:tcW w:w="114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341CE6F" w14:textId="77777777" w:rsidR="008709BC" w:rsidRPr="008709BC" w:rsidRDefault="008709BC" w:rsidP="00806E41">
            <w:pPr>
              <w:pStyle w:val="CDITable-RowCentre"/>
            </w:pPr>
            <w:r w:rsidRPr="008709BC">
              <w:t>268</w:t>
            </w:r>
          </w:p>
        </w:tc>
        <w:tc>
          <w:tcPr>
            <w:tcW w:w="1144" w:type="dxa"/>
            <w:tcBorders>
              <w:top w:val="single" w:sz="8"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E996485" w14:textId="77777777" w:rsidR="008709BC" w:rsidRPr="008709BC" w:rsidRDefault="008709BC" w:rsidP="00806E41">
            <w:pPr>
              <w:pStyle w:val="CDITable-RowCentre"/>
            </w:pPr>
            <w:r w:rsidRPr="008709BC">
              <w:t>21.0</w:t>
            </w:r>
          </w:p>
        </w:tc>
        <w:tc>
          <w:tcPr>
            <w:tcW w:w="1143" w:type="dxa"/>
            <w:tcBorders>
              <w:top w:val="single" w:sz="8"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DB2273F" w14:textId="77777777" w:rsidR="008709BC" w:rsidRPr="008709BC" w:rsidRDefault="008709BC" w:rsidP="00806E41">
            <w:pPr>
              <w:pStyle w:val="CDITable-RowCentre"/>
            </w:pPr>
            <w:r w:rsidRPr="008709BC">
              <w:t>146</w:t>
            </w:r>
          </w:p>
        </w:tc>
        <w:tc>
          <w:tcPr>
            <w:tcW w:w="1143" w:type="dxa"/>
            <w:tcBorders>
              <w:top w:val="single" w:sz="8"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6986910" w14:textId="77777777" w:rsidR="008709BC" w:rsidRPr="008709BC" w:rsidRDefault="008709BC" w:rsidP="00806E41">
            <w:pPr>
              <w:pStyle w:val="CDITable-RowCentre"/>
            </w:pPr>
            <w:r w:rsidRPr="008709BC">
              <w:t>22.0</w:t>
            </w:r>
          </w:p>
        </w:tc>
        <w:tc>
          <w:tcPr>
            <w:tcW w:w="1143" w:type="dxa"/>
            <w:tcBorders>
              <w:top w:val="single" w:sz="8"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0036819" w14:textId="77777777" w:rsidR="008709BC" w:rsidRPr="008709BC" w:rsidRDefault="008709BC" w:rsidP="00806E41">
            <w:pPr>
              <w:pStyle w:val="CDITable-RowCentre"/>
            </w:pPr>
            <w:r w:rsidRPr="008709BC">
              <w:t>122</w:t>
            </w:r>
          </w:p>
        </w:tc>
        <w:tc>
          <w:tcPr>
            <w:tcW w:w="1144"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DBD6665" w14:textId="77777777" w:rsidR="008709BC" w:rsidRPr="008709BC" w:rsidRDefault="008709BC" w:rsidP="00806E41">
            <w:pPr>
              <w:pStyle w:val="CDITable-RowCentre"/>
            </w:pPr>
            <w:r w:rsidRPr="008709BC">
              <w:t>19.9</w:t>
            </w:r>
          </w:p>
        </w:tc>
      </w:tr>
      <w:tr w:rsidR="008709BC" w:rsidRPr="008709BC" w14:paraId="30147115" w14:textId="77777777" w:rsidTr="00806E41">
        <w:trPr>
          <w:divId w:val="935526654"/>
          <w:trHeight w:val="20"/>
        </w:trPr>
        <w:tc>
          <w:tcPr>
            <w:tcW w:w="1304" w:type="dxa"/>
            <w:vMerge/>
            <w:tcBorders>
              <w:bottom w:val="single" w:sz="8" w:space="0" w:color="033636" w:themeColor="text2"/>
            </w:tcBorders>
            <w:shd w:val="clear" w:color="auto" w:fill="C5FFEF" w:themeFill="background2" w:themeFillTint="33"/>
          </w:tcPr>
          <w:p w14:paraId="4E3C1430" w14:textId="77777777" w:rsidR="008709BC" w:rsidRPr="008709BC" w:rsidRDefault="008709BC" w:rsidP="008709BC"/>
        </w:tc>
        <w:tc>
          <w:tcPr>
            <w:tcW w:w="147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1DF5F02" w14:textId="77777777" w:rsidR="008709BC" w:rsidRPr="008709BC" w:rsidRDefault="008709BC" w:rsidP="00806E41">
            <w:pPr>
              <w:pStyle w:val="CDITable-RowLeft"/>
            </w:pPr>
            <w:r w:rsidRPr="008709BC">
              <w:t>non-Indigenous</w:t>
            </w:r>
          </w:p>
        </w:tc>
        <w:tc>
          <w:tcPr>
            <w:tcW w:w="114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14CCD4F" w14:textId="77777777" w:rsidR="008709BC" w:rsidRPr="008709BC" w:rsidRDefault="008709BC" w:rsidP="00806E41">
            <w:pPr>
              <w:pStyle w:val="CDITable-RowCentre"/>
            </w:pPr>
            <w:r w:rsidRPr="008709BC">
              <w:t>1,011</w:t>
            </w:r>
          </w:p>
        </w:tc>
        <w:tc>
          <w:tcPr>
            <w:tcW w:w="1144"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1A6D13A9" w14:textId="77777777" w:rsidR="008709BC" w:rsidRPr="008709BC" w:rsidRDefault="008709BC" w:rsidP="00806E41">
            <w:pPr>
              <w:pStyle w:val="CDITable-RowCentre"/>
            </w:pPr>
            <w:r w:rsidRPr="008709BC">
              <w:t>79.0</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65980A91" w14:textId="77777777" w:rsidR="008709BC" w:rsidRPr="008709BC" w:rsidRDefault="008709BC" w:rsidP="00806E41">
            <w:pPr>
              <w:pStyle w:val="CDITable-RowCentre"/>
            </w:pPr>
            <w:r w:rsidRPr="008709BC">
              <w:t>519</w:t>
            </w:r>
          </w:p>
        </w:tc>
        <w:tc>
          <w:tcPr>
            <w:tcW w:w="1143"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14DA4428" w14:textId="77777777" w:rsidR="008709BC" w:rsidRPr="008709BC" w:rsidRDefault="008709BC" w:rsidP="00806E41">
            <w:pPr>
              <w:pStyle w:val="CDITable-RowCentre"/>
            </w:pPr>
            <w:r w:rsidRPr="008709BC">
              <w:t>78.0</w:t>
            </w:r>
          </w:p>
        </w:tc>
        <w:tc>
          <w:tcPr>
            <w:tcW w:w="114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14756017" w14:textId="77777777" w:rsidR="008709BC" w:rsidRPr="008709BC" w:rsidRDefault="008709BC" w:rsidP="00806E41">
            <w:pPr>
              <w:pStyle w:val="CDITable-RowCentre"/>
            </w:pPr>
            <w:r w:rsidRPr="008709BC">
              <w:t>492</w:t>
            </w:r>
          </w:p>
        </w:tc>
        <w:tc>
          <w:tcPr>
            <w:tcW w:w="1144"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5F4169D" w14:textId="77777777" w:rsidR="008709BC" w:rsidRPr="008709BC" w:rsidRDefault="008709BC" w:rsidP="00806E41">
            <w:pPr>
              <w:pStyle w:val="CDITable-RowCentre"/>
            </w:pPr>
            <w:r w:rsidRPr="008709BC">
              <w:t>80.1</w:t>
            </w:r>
          </w:p>
        </w:tc>
      </w:tr>
    </w:tbl>
    <w:p w14:paraId="2204FBA7" w14:textId="28AAC4BC" w:rsidR="005A3253" w:rsidRDefault="005A3253" w:rsidP="005A3253">
      <w:pPr>
        <w:pStyle w:val="CDITable-Firstfootnote"/>
        <w:divId w:val="935526654"/>
      </w:pPr>
      <w:r w:rsidRPr="005A3253">
        <w:t>a</w:t>
      </w:r>
      <w:r w:rsidRPr="005A3253">
        <w:tab/>
        <w:t>Associated diagnosis or complication.</w:t>
      </w:r>
    </w:p>
    <w:p w14:paraId="675C81E2" w14:textId="4B01E041" w:rsidR="008709BC" w:rsidRDefault="00806E41" w:rsidP="00806E41">
      <w:pPr>
        <w:pStyle w:val="Heading2"/>
        <w:divId w:val="935526654"/>
      </w:pPr>
      <w:r w:rsidRPr="00806E41">
        <w:t>Age-wise yearly trend of RSV admissions</w:t>
      </w:r>
    </w:p>
    <w:p w14:paraId="1108C660" w14:textId="77777777" w:rsidR="00806E41" w:rsidRPr="00806E41" w:rsidRDefault="00806E41" w:rsidP="00806E41">
      <w:pPr>
        <w:divId w:val="935526654"/>
        <w:rPr>
          <w:lang w:val="en-GB"/>
        </w:rPr>
      </w:pPr>
      <w:r w:rsidRPr="00806E41">
        <w:rPr>
          <w:lang w:val="en-GB"/>
        </w:rPr>
        <w:t>Analysis of annual trends revealed an increase in RSV admissions from 123 in 2018 to 363 in 2022, with a slight decrease to 357 in 2023. Infants under 12 months consistently accounted for the highest proportion of admissions, while children aged 6–19 years had the lowest proportion. In 2018, infants accounted for 44.7% of admissions (n = 55/123), while 13.0% of admissions (n = 16/123) were in older adults; by 2023, these proportions shifted to 33.9% (n = 121/357) and 20.2% (n = 72/357), respectively (Figure 1).</w:t>
      </w:r>
    </w:p>
    <w:p w14:paraId="1D0C2965" w14:textId="3C97E745" w:rsidR="008709BC" w:rsidRDefault="00806E41" w:rsidP="00806E41">
      <w:pPr>
        <w:pStyle w:val="CDITable-Title"/>
        <w:divId w:val="935526654"/>
      </w:pPr>
      <w:r w:rsidRPr="00806E41">
        <w:lastRenderedPageBreak/>
        <w:t>Figure 1: Number of hospital admissions due to RSV in Central Queensland by year and age groups</w:t>
      </w:r>
    </w:p>
    <w:p w14:paraId="7A823BB7" w14:textId="21D13D1F" w:rsidR="008709BC" w:rsidRDefault="00806E41" w:rsidP="00806E41">
      <w:pPr>
        <w:pStyle w:val="CDIFigure-Placeholder"/>
        <w:divId w:val="935526654"/>
      </w:pPr>
      <w:r>
        <w:rPr>
          <w:noProof/>
          <w14:ligatures w14:val="none"/>
        </w:rPr>
        <w:drawing>
          <wp:inline distT="0" distB="0" distL="0" distR="0" wp14:anchorId="7322A57A" wp14:editId="2E0A9AB5">
            <wp:extent cx="6113553" cy="4430840"/>
            <wp:effectExtent l="0" t="0" r="1905" b="8255"/>
            <wp:docPr id="562527912" name="Picture 1" descr="Figure 1: Bar chart illustrating the number of RSV-related hospital admissions by age group from 2018 to 2023 in Central Queensland. Hospital admissions were highest among infants under 12 months, and the rate of admissions increased significantly between 2022 a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27912" name="Picture 1" descr="Figure 1: Bar chart illustrating the number of RSV-related hospital admissions by age group from 2018 to 2023 in Central Queensland. Hospital admissions were highest among infants under 12 months, and the rate of admissions increased significantly between 2022 and 2023."/>
                    <pic:cNvPicPr/>
                  </pic:nvPicPr>
                  <pic:blipFill>
                    <a:blip r:embed="rId9">
                      <a:extLst>
                        <a:ext uri="{28A0092B-C50C-407E-A947-70E740481C1C}">
                          <a14:useLocalDpi xmlns:a14="http://schemas.microsoft.com/office/drawing/2010/main" val="0"/>
                        </a:ext>
                      </a:extLst>
                    </a:blip>
                    <a:stretch>
                      <a:fillRect/>
                    </a:stretch>
                  </pic:blipFill>
                  <pic:spPr>
                    <a:xfrm>
                      <a:off x="0" y="0"/>
                      <a:ext cx="6113553" cy="4430840"/>
                    </a:xfrm>
                    <a:prstGeom prst="rect">
                      <a:avLst/>
                    </a:prstGeom>
                  </pic:spPr>
                </pic:pic>
              </a:graphicData>
            </a:graphic>
          </wp:inline>
        </w:drawing>
      </w:r>
    </w:p>
    <w:p w14:paraId="21705020" w14:textId="0C434441" w:rsidR="008709BC" w:rsidRDefault="00806E41" w:rsidP="00806E41">
      <w:pPr>
        <w:pStyle w:val="Heading2"/>
        <w:divId w:val="935526654"/>
      </w:pPr>
      <w:r w:rsidRPr="00806E41">
        <w:t>Age-wise hospitalisation rate</w:t>
      </w:r>
    </w:p>
    <w:p w14:paraId="5D8A94BC" w14:textId="77777777" w:rsidR="00CB1D07" w:rsidRDefault="00806E41" w:rsidP="00806E41">
      <w:pPr>
        <w:divId w:val="935526654"/>
        <w:rPr>
          <w:lang w:val="en-GB"/>
        </w:rPr>
        <w:sectPr w:rsidR="00CB1D07" w:rsidSect="00690957">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7" w:h="16840" w:code="9"/>
          <w:pgMar w:top="1134" w:right="1134" w:bottom="1304" w:left="1134" w:header="709" w:footer="567" w:gutter="0"/>
          <w:cols w:space="708"/>
          <w:titlePg/>
          <w:docGrid w:linePitch="360"/>
          <w15:footnoteColumns w:val="1"/>
        </w:sectPr>
      </w:pPr>
      <w:r w:rsidRPr="00806E41">
        <w:rPr>
          <w:lang w:val="en-GB"/>
        </w:rPr>
        <w:t xml:space="preserve">Between 2018 and 2023, RSV hospitalisation rates increased significantly across different age groups. Among infants aged under 12 months, the hospitalisation rate rose from 18.6 to 41.2 per 1,000 (IRR: 2.2; 95% CI: 1.8–2.6; </w:t>
      </w:r>
      <w:r w:rsidRPr="00806E41">
        <w:rPr>
          <w:i/>
          <w:iCs/>
          <w:lang w:val="en-GB"/>
        </w:rPr>
        <w:t>p</w:t>
      </w:r>
      <w:r w:rsidRPr="00806E41">
        <w:rPr>
          <w:lang w:val="en-GB"/>
        </w:rPr>
        <w:t xml:space="preserve"> &lt; 0.001). Similarly, hospitalisation rates increased from 2.4 to 8.6 per 1,000 in children aged 1–5 years (IRR: 2.9; 95% CI: 2.4–3.4; </w:t>
      </w:r>
      <w:r w:rsidRPr="00806E41">
        <w:rPr>
          <w:i/>
          <w:iCs/>
          <w:lang w:val="en-GB"/>
        </w:rPr>
        <w:t xml:space="preserve">p </w:t>
      </w:r>
      <w:r w:rsidRPr="00806E41">
        <w:rPr>
          <w:lang w:val="en-GB"/>
        </w:rPr>
        <w:t xml:space="preserve">&lt;0.001) and from 0.4 to 1.6 per 1,000 in older adults aged 60 years and above (IRR: 2.8; 95% CI: 2.1–3.6; </w:t>
      </w:r>
      <w:r w:rsidRPr="00806E41">
        <w:rPr>
          <w:i/>
          <w:iCs/>
          <w:lang w:val="en-GB"/>
        </w:rPr>
        <w:t xml:space="preserve">p </w:t>
      </w:r>
      <w:r w:rsidRPr="00806E41">
        <w:rPr>
          <w:lang w:val="en-GB"/>
        </w:rPr>
        <w:t xml:space="preserve">&lt; 0.001). The IRR values and respective 95% CI indicate a significant increase in the hospitalisation rate between the retrospective (2018–2021) and prospective study periods (2022–2023). The hospitalisation rate among the Indigenous population was significantly higher than that among the non-Indigenous population for the whole study period (IRR: 3.1; 95% CI: 2.7–3.6; </w:t>
      </w:r>
      <w:r w:rsidRPr="00806E41">
        <w:rPr>
          <w:i/>
          <w:iCs/>
          <w:lang w:val="en-GB"/>
        </w:rPr>
        <w:t xml:space="preserve">p </w:t>
      </w:r>
      <w:r w:rsidRPr="00806E41">
        <w:rPr>
          <w:lang w:val="en-GB"/>
        </w:rPr>
        <w:t>&lt; 0.001) (Table 2).</w:t>
      </w:r>
    </w:p>
    <w:p w14:paraId="72783438" w14:textId="01211B36" w:rsidR="00806E41" w:rsidRDefault="00CB1D07" w:rsidP="00CB1D07">
      <w:pPr>
        <w:pStyle w:val="CDITable-Titlenospacebefore"/>
        <w:divId w:val="935526654"/>
      </w:pPr>
      <w:r w:rsidRPr="00CB1D07">
        <w:lastRenderedPageBreak/>
        <w:t>Table 2: Number, rate and incidence rate ratios of RSV hospital admissions between 2018 and 2023 in Central Queensland</w:t>
      </w:r>
    </w:p>
    <w:tbl>
      <w:tblPr>
        <w:tblW w:w="0" w:type="auto"/>
        <w:tblLayout w:type="fixed"/>
        <w:tblCellMar>
          <w:left w:w="0" w:type="dxa"/>
          <w:right w:w="0" w:type="dxa"/>
        </w:tblCellMar>
        <w:tblLook w:val="0000" w:firstRow="0" w:lastRow="0" w:firstColumn="0" w:lastColumn="0" w:noHBand="0" w:noVBand="0"/>
        <w:tblCaption w:val="Table 2: Number, rate and incidence rate ratios of RSV hospital admissions between 2018 and 2023 in Central Queensland"/>
        <w:tblDescription w:val="Table 2 presents the number of hospital admissions due to RSV, the rate of hospital admissions per 1,000 population, and the incidence rate ratios (IRR) with 95% confidence intervals and p-values in Central Queensland."/>
      </w:tblPr>
      <w:tblGrid>
        <w:gridCol w:w="1417"/>
        <w:gridCol w:w="1588"/>
        <w:gridCol w:w="737"/>
        <w:gridCol w:w="737"/>
        <w:gridCol w:w="737"/>
        <w:gridCol w:w="737"/>
        <w:gridCol w:w="737"/>
        <w:gridCol w:w="737"/>
        <w:gridCol w:w="737"/>
        <w:gridCol w:w="737"/>
        <w:gridCol w:w="737"/>
        <w:gridCol w:w="737"/>
        <w:gridCol w:w="737"/>
        <w:gridCol w:w="737"/>
        <w:gridCol w:w="737"/>
        <w:gridCol w:w="879"/>
        <w:gridCol w:w="878"/>
      </w:tblGrid>
      <w:tr w:rsidR="00CB1D07" w:rsidRPr="00CB1D07" w14:paraId="064A58D8" w14:textId="77777777" w:rsidTr="00CB1D07">
        <w:trPr>
          <w:divId w:val="935526654"/>
          <w:trHeight w:val="20"/>
          <w:tblHeader/>
        </w:trPr>
        <w:tc>
          <w:tcPr>
            <w:tcW w:w="1417" w:type="dxa"/>
            <w:vMerge w:val="restart"/>
            <w:shd w:val="clear" w:color="auto" w:fill="033636" w:themeFill="text2"/>
            <w:tcMar>
              <w:top w:w="113" w:type="dxa"/>
              <w:left w:w="113" w:type="dxa"/>
              <w:bottom w:w="113" w:type="dxa"/>
              <w:right w:w="113" w:type="dxa"/>
            </w:tcMar>
            <w:vAlign w:val="bottom"/>
          </w:tcPr>
          <w:p w14:paraId="35FADC53" w14:textId="77777777" w:rsidR="00CB1D07" w:rsidRPr="00CB1D07" w:rsidRDefault="00CB1D07" w:rsidP="00CB1D07">
            <w:pPr>
              <w:pStyle w:val="CDITable-HeaderRowLeft"/>
            </w:pPr>
            <w:r w:rsidRPr="00CB1D07">
              <w:t>Category</w:t>
            </w:r>
          </w:p>
        </w:tc>
        <w:tc>
          <w:tcPr>
            <w:tcW w:w="1588" w:type="dxa"/>
            <w:vMerge w:val="restart"/>
            <w:shd w:val="clear" w:color="auto" w:fill="033636" w:themeFill="text2"/>
            <w:tcMar>
              <w:top w:w="113" w:type="dxa"/>
              <w:left w:w="113" w:type="dxa"/>
              <w:bottom w:w="113" w:type="dxa"/>
              <w:right w:w="113" w:type="dxa"/>
            </w:tcMar>
            <w:vAlign w:val="bottom"/>
          </w:tcPr>
          <w:p w14:paraId="73E33B3C" w14:textId="77777777" w:rsidR="00CB1D07" w:rsidRPr="00CB1D07" w:rsidRDefault="00CB1D07" w:rsidP="00CB1D07">
            <w:pPr>
              <w:pStyle w:val="CDITable-HeaderRowLeft"/>
            </w:pPr>
            <w:r w:rsidRPr="00CB1D07">
              <w:t>Characteristics</w:t>
            </w:r>
          </w:p>
        </w:tc>
        <w:tc>
          <w:tcPr>
            <w:tcW w:w="4422"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F6459E4" w14:textId="77777777" w:rsidR="00CB1D07" w:rsidRPr="00CB1D07" w:rsidRDefault="00CB1D07" w:rsidP="00CB1D07">
            <w:pPr>
              <w:pStyle w:val="CDITable-HeaderRowCentre"/>
            </w:pPr>
            <w:r w:rsidRPr="00CB1D07">
              <w:t>Number of RSV hospitalisations</w:t>
            </w:r>
          </w:p>
        </w:tc>
        <w:tc>
          <w:tcPr>
            <w:tcW w:w="4422"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7D96BA6" w14:textId="77777777" w:rsidR="00CB1D07" w:rsidRPr="00CB1D07" w:rsidRDefault="00CB1D07" w:rsidP="00CB1D07">
            <w:pPr>
              <w:pStyle w:val="CDITable-HeaderRowCentre"/>
            </w:pPr>
            <w:r w:rsidRPr="00CB1D07">
              <w:t>RSV hospitalisation rate per 1,000 population</w:t>
            </w:r>
          </w:p>
        </w:tc>
        <w:tc>
          <w:tcPr>
            <w:tcW w:w="2494"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B03A7D4" w14:textId="77777777" w:rsidR="00CB1D07" w:rsidRPr="00CB1D07" w:rsidRDefault="00CB1D07" w:rsidP="00CB1D07">
            <w:pPr>
              <w:pStyle w:val="CDITable-HeaderRowCentre"/>
            </w:pPr>
            <w:r w:rsidRPr="00CB1D07">
              <w:t>2018–2021 vs. 2022–2023</w:t>
            </w:r>
          </w:p>
        </w:tc>
      </w:tr>
      <w:tr w:rsidR="00CB1D07" w:rsidRPr="00CB1D07" w14:paraId="5E90AC84" w14:textId="77777777" w:rsidTr="005A3253">
        <w:trPr>
          <w:divId w:val="935526654"/>
          <w:trHeight w:val="20"/>
          <w:tblHeader/>
        </w:trPr>
        <w:tc>
          <w:tcPr>
            <w:tcW w:w="1417" w:type="dxa"/>
            <w:vMerge/>
            <w:shd w:val="clear" w:color="auto" w:fill="033636" w:themeFill="text2"/>
          </w:tcPr>
          <w:p w14:paraId="6D3F0E70" w14:textId="77777777" w:rsidR="00CB1D07" w:rsidRPr="00CB1D07" w:rsidRDefault="00CB1D07" w:rsidP="00CB1D07"/>
        </w:tc>
        <w:tc>
          <w:tcPr>
            <w:tcW w:w="1588" w:type="dxa"/>
            <w:vMerge/>
            <w:shd w:val="clear" w:color="auto" w:fill="033636" w:themeFill="text2"/>
          </w:tcPr>
          <w:p w14:paraId="2719D2D4" w14:textId="77777777" w:rsidR="00CB1D07" w:rsidRPr="00CB1D07" w:rsidRDefault="00CB1D07" w:rsidP="00CB1D07"/>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4B9D779" w14:textId="77777777" w:rsidR="00CB1D07" w:rsidRPr="00CB1D07" w:rsidRDefault="00CB1D07" w:rsidP="00CB1D07">
            <w:pPr>
              <w:pStyle w:val="CDITable-HeaderRowCentre"/>
            </w:pPr>
            <w:r w:rsidRPr="00CB1D07">
              <w:t>2018</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88C093D" w14:textId="77777777" w:rsidR="00CB1D07" w:rsidRPr="00CB1D07" w:rsidRDefault="00CB1D07" w:rsidP="00CB1D07">
            <w:pPr>
              <w:pStyle w:val="CDITable-HeaderRowCentre"/>
            </w:pPr>
            <w:r w:rsidRPr="00CB1D07">
              <w:t>2019</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F4B1930" w14:textId="77777777" w:rsidR="00CB1D07" w:rsidRPr="00CB1D07" w:rsidRDefault="00CB1D07" w:rsidP="00CB1D07">
            <w:pPr>
              <w:pStyle w:val="CDITable-HeaderRowCentre"/>
            </w:pPr>
            <w:r w:rsidRPr="00CB1D07">
              <w:t>2020</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F1230D5" w14:textId="77777777" w:rsidR="00CB1D07" w:rsidRPr="00CB1D07" w:rsidRDefault="00CB1D07" w:rsidP="00CB1D07">
            <w:pPr>
              <w:pStyle w:val="CDITable-HeaderRowCentre"/>
            </w:pPr>
            <w:r w:rsidRPr="00CB1D07">
              <w:t>2021</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7E858E1" w14:textId="77777777" w:rsidR="00CB1D07" w:rsidRPr="00CB1D07" w:rsidRDefault="00CB1D07" w:rsidP="00CB1D07">
            <w:pPr>
              <w:pStyle w:val="CDITable-HeaderRowCentre"/>
            </w:pPr>
            <w:r w:rsidRPr="00CB1D07">
              <w:t>2022</w:t>
            </w:r>
          </w:p>
        </w:tc>
        <w:tc>
          <w:tcPr>
            <w:tcW w:w="737"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7A6B989" w14:textId="77777777" w:rsidR="00CB1D07" w:rsidRPr="00CB1D07" w:rsidRDefault="00CB1D07" w:rsidP="00CB1D07">
            <w:pPr>
              <w:pStyle w:val="CDITable-HeaderRowCentre"/>
            </w:pPr>
            <w:r w:rsidRPr="00CB1D07">
              <w:t>2023</w:t>
            </w:r>
          </w:p>
        </w:tc>
        <w:tc>
          <w:tcPr>
            <w:tcW w:w="73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22871BE" w14:textId="77777777" w:rsidR="00CB1D07" w:rsidRPr="00CB1D07" w:rsidRDefault="00CB1D07" w:rsidP="00CB1D07">
            <w:pPr>
              <w:pStyle w:val="CDITable-HeaderRowCentre"/>
            </w:pPr>
            <w:r w:rsidRPr="00CB1D07">
              <w:t>2018</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4A06FF9" w14:textId="77777777" w:rsidR="00CB1D07" w:rsidRPr="00CB1D07" w:rsidRDefault="00CB1D07" w:rsidP="00CB1D07">
            <w:pPr>
              <w:pStyle w:val="CDITable-HeaderRowCentre"/>
            </w:pPr>
            <w:r w:rsidRPr="00CB1D07">
              <w:t>2019</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9F47727" w14:textId="77777777" w:rsidR="00CB1D07" w:rsidRPr="00CB1D07" w:rsidRDefault="00CB1D07" w:rsidP="00CB1D07">
            <w:pPr>
              <w:pStyle w:val="CDITable-HeaderRowCentre"/>
            </w:pPr>
            <w:r w:rsidRPr="00CB1D07">
              <w:t>2020</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28BE8E2" w14:textId="77777777" w:rsidR="00CB1D07" w:rsidRPr="00CB1D07" w:rsidRDefault="00CB1D07" w:rsidP="00CB1D07">
            <w:pPr>
              <w:pStyle w:val="CDITable-HeaderRowCentre"/>
            </w:pPr>
            <w:r w:rsidRPr="00CB1D07">
              <w:t>2021</w:t>
            </w:r>
          </w:p>
        </w:tc>
        <w:tc>
          <w:tcPr>
            <w:tcW w:w="73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C721E82" w14:textId="77777777" w:rsidR="00CB1D07" w:rsidRPr="00CB1D07" w:rsidRDefault="00CB1D07" w:rsidP="00CB1D07">
            <w:pPr>
              <w:pStyle w:val="CDITable-HeaderRowCentre"/>
            </w:pPr>
            <w:r w:rsidRPr="00CB1D07">
              <w:t>2022</w:t>
            </w:r>
          </w:p>
        </w:tc>
        <w:tc>
          <w:tcPr>
            <w:tcW w:w="737"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1095D88" w14:textId="77777777" w:rsidR="00CB1D07" w:rsidRPr="00CB1D07" w:rsidRDefault="00CB1D07" w:rsidP="00CB1D07">
            <w:pPr>
              <w:pStyle w:val="CDITable-HeaderRowCentre"/>
            </w:pPr>
            <w:r w:rsidRPr="00CB1D07">
              <w:t>2023</w:t>
            </w:r>
          </w:p>
        </w:tc>
        <w:tc>
          <w:tcPr>
            <w:tcW w:w="73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F56116F" w14:textId="77777777" w:rsidR="00CB1D07" w:rsidRPr="00CB1D07" w:rsidRDefault="00CB1D07" w:rsidP="00CB1D07">
            <w:pPr>
              <w:pStyle w:val="CDITable-HeaderRowCentre"/>
            </w:pPr>
            <w:r w:rsidRPr="00CB1D07">
              <w:t>IRR</w:t>
            </w:r>
            <w:r w:rsidRPr="00CB1D07">
              <w:rPr>
                <w:bCs/>
                <w:vertAlign w:val="superscript"/>
              </w:rPr>
              <w:t>a</w:t>
            </w:r>
          </w:p>
        </w:tc>
        <w:tc>
          <w:tcPr>
            <w:tcW w:w="879"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3E79FCC" w14:textId="77777777" w:rsidR="00CB1D07" w:rsidRPr="00CB1D07" w:rsidRDefault="00CB1D07" w:rsidP="00CB1D07">
            <w:pPr>
              <w:pStyle w:val="CDITable-HeaderRowCentre"/>
            </w:pPr>
            <w:r w:rsidRPr="00CB1D07">
              <w:t>95% CI</w:t>
            </w:r>
            <w:r w:rsidRPr="00CB1D07">
              <w:rPr>
                <w:bCs/>
                <w:vertAlign w:val="superscript"/>
              </w:rPr>
              <w:t>b</w:t>
            </w:r>
          </w:p>
        </w:tc>
        <w:tc>
          <w:tcPr>
            <w:tcW w:w="878"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7EA3219" w14:textId="77777777" w:rsidR="00CB1D07" w:rsidRPr="00CB1D07" w:rsidRDefault="00CB1D07" w:rsidP="00CB1D07">
            <w:pPr>
              <w:pStyle w:val="CDITable-HeaderRowCentre"/>
            </w:pPr>
            <w:r w:rsidRPr="00CB1D07">
              <w:rPr>
                <w:i/>
                <w:iCs/>
              </w:rPr>
              <w:t>p</w:t>
            </w:r>
            <w:r w:rsidRPr="00CB1D07">
              <w:t xml:space="preserve"> value</w:t>
            </w:r>
          </w:p>
        </w:tc>
      </w:tr>
      <w:tr w:rsidR="00CB1D07" w:rsidRPr="00CB1D07" w14:paraId="6104D27D" w14:textId="77777777" w:rsidTr="005A3253">
        <w:trPr>
          <w:divId w:val="935526654"/>
          <w:trHeight w:val="20"/>
        </w:trPr>
        <w:tc>
          <w:tcPr>
            <w:tcW w:w="1417"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F373012" w14:textId="77777777" w:rsidR="00CB1D07" w:rsidRPr="00CB1D07" w:rsidRDefault="00CB1D07" w:rsidP="00CB1D07">
            <w:pPr>
              <w:pStyle w:val="CDITable-RowLeft"/>
            </w:pPr>
            <w:r w:rsidRPr="00CB1D07">
              <w:t>Age (in years)</w:t>
            </w:r>
          </w:p>
        </w:tc>
        <w:tc>
          <w:tcPr>
            <w:tcW w:w="1588" w:type="dxa"/>
            <w:tcBorders>
              <w:bottom w:val="single" w:sz="6" w:space="0" w:color="033636" w:themeColor="text2"/>
            </w:tcBorders>
            <w:tcMar>
              <w:top w:w="113" w:type="dxa"/>
              <w:left w:w="113" w:type="dxa"/>
              <w:bottom w:w="113" w:type="dxa"/>
              <w:right w:w="113" w:type="dxa"/>
            </w:tcMar>
            <w:vAlign w:val="center"/>
          </w:tcPr>
          <w:p w14:paraId="333C26DD" w14:textId="77777777" w:rsidR="00CB1D07" w:rsidRPr="00CB1D07" w:rsidRDefault="00CB1D07" w:rsidP="00CB1D07">
            <w:pPr>
              <w:pStyle w:val="CDITable-RowLeft"/>
            </w:pPr>
            <w:r w:rsidRPr="00CB1D07">
              <w:t>&lt; 1</w:t>
            </w:r>
          </w:p>
        </w:tc>
        <w:tc>
          <w:tcPr>
            <w:tcW w:w="737" w:type="dxa"/>
            <w:tcBorders>
              <w:bottom w:val="single" w:sz="6" w:space="0" w:color="033636" w:themeColor="text2"/>
            </w:tcBorders>
            <w:tcMar>
              <w:top w:w="113" w:type="dxa"/>
              <w:left w:w="113" w:type="dxa"/>
              <w:bottom w:w="113" w:type="dxa"/>
              <w:right w:w="113" w:type="dxa"/>
            </w:tcMar>
            <w:vAlign w:val="center"/>
          </w:tcPr>
          <w:p w14:paraId="25ABBDBC" w14:textId="77777777" w:rsidR="00CB1D07" w:rsidRPr="00CB1D07" w:rsidRDefault="00CB1D07" w:rsidP="00CB1D07">
            <w:pPr>
              <w:pStyle w:val="CDITable-RowCentre"/>
            </w:pPr>
            <w:r w:rsidRPr="00CB1D07">
              <w:t>55</w:t>
            </w:r>
          </w:p>
        </w:tc>
        <w:tc>
          <w:tcPr>
            <w:tcW w:w="737" w:type="dxa"/>
            <w:tcBorders>
              <w:bottom w:val="single" w:sz="6" w:space="0" w:color="033636" w:themeColor="text2"/>
            </w:tcBorders>
            <w:tcMar>
              <w:top w:w="113" w:type="dxa"/>
              <w:left w:w="113" w:type="dxa"/>
              <w:bottom w:w="113" w:type="dxa"/>
              <w:right w:w="113" w:type="dxa"/>
            </w:tcMar>
            <w:vAlign w:val="center"/>
          </w:tcPr>
          <w:p w14:paraId="489A99C8" w14:textId="77777777" w:rsidR="00CB1D07" w:rsidRPr="00CB1D07" w:rsidRDefault="00CB1D07" w:rsidP="00CB1D07">
            <w:pPr>
              <w:pStyle w:val="CDITable-RowCentre"/>
            </w:pPr>
            <w:r w:rsidRPr="00CB1D07">
              <w:t>46</w:t>
            </w:r>
          </w:p>
        </w:tc>
        <w:tc>
          <w:tcPr>
            <w:tcW w:w="737" w:type="dxa"/>
            <w:tcBorders>
              <w:bottom w:val="single" w:sz="6" w:space="0" w:color="033636" w:themeColor="text2"/>
            </w:tcBorders>
            <w:tcMar>
              <w:top w:w="113" w:type="dxa"/>
              <w:left w:w="113" w:type="dxa"/>
              <w:bottom w:w="113" w:type="dxa"/>
              <w:right w:w="113" w:type="dxa"/>
            </w:tcMar>
            <w:vAlign w:val="center"/>
          </w:tcPr>
          <w:p w14:paraId="6E0A683E" w14:textId="77777777" w:rsidR="00CB1D07" w:rsidRPr="00CB1D07" w:rsidRDefault="00CB1D07" w:rsidP="00CB1D07">
            <w:pPr>
              <w:pStyle w:val="CDITable-RowCentre"/>
            </w:pPr>
            <w:r w:rsidRPr="00CB1D07">
              <w:t>40</w:t>
            </w:r>
          </w:p>
        </w:tc>
        <w:tc>
          <w:tcPr>
            <w:tcW w:w="737" w:type="dxa"/>
            <w:tcBorders>
              <w:bottom w:val="single" w:sz="6" w:space="0" w:color="033636" w:themeColor="text2"/>
            </w:tcBorders>
            <w:tcMar>
              <w:top w:w="113" w:type="dxa"/>
              <w:left w:w="113" w:type="dxa"/>
              <w:bottom w:w="113" w:type="dxa"/>
              <w:right w:w="113" w:type="dxa"/>
            </w:tcMar>
            <w:vAlign w:val="center"/>
          </w:tcPr>
          <w:p w14:paraId="204E0384" w14:textId="77777777" w:rsidR="00CB1D07" w:rsidRPr="00CB1D07" w:rsidRDefault="00CB1D07" w:rsidP="00CB1D07">
            <w:pPr>
              <w:pStyle w:val="CDITable-RowCentre"/>
            </w:pPr>
            <w:r w:rsidRPr="00CB1D07">
              <w:t>88</w:t>
            </w:r>
          </w:p>
        </w:tc>
        <w:tc>
          <w:tcPr>
            <w:tcW w:w="737" w:type="dxa"/>
            <w:tcBorders>
              <w:bottom w:val="single" w:sz="6" w:space="0" w:color="033636" w:themeColor="text2"/>
            </w:tcBorders>
            <w:tcMar>
              <w:top w:w="113" w:type="dxa"/>
              <w:left w:w="113" w:type="dxa"/>
              <w:bottom w:w="113" w:type="dxa"/>
              <w:right w:w="113" w:type="dxa"/>
            </w:tcMar>
            <w:vAlign w:val="center"/>
          </w:tcPr>
          <w:p w14:paraId="6BE9B57E" w14:textId="77777777" w:rsidR="00CB1D07" w:rsidRPr="00CB1D07" w:rsidRDefault="00CB1D07" w:rsidP="00CB1D07">
            <w:pPr>
              <w:pStyle w:val="CDITable-RowCentre"/>
            </w:pPr>
            <w:r w:rsidRPr="00CB1D07">
              <w:t>141</w:t>
            </w:r>
          </w:p>
        </w:tc>
        <w:tc>
          <w:tcPr>
            <w:tcW w:w="73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FE49B1B" w14:textId="77777777" w:rsidR="00CB1D07" w:rsidRPr="00CB1D07" w:rsidRDefault="00CB1D07" w:rsidP="00CB1D07">
            <w:pPr>
              <w:pStyle w:val="CDITable-RowCentre"/>
            </w:pPr>
            <w:r w:rsidRPr="00CB1D07">
              <w:t>121</w:t>
            </w:r>
          </w:p>
        </w:tc>
        <w:tc>
          <w:tcPr>
            <w:tcW w:w="73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01F503A" w14:textId="77777777" w:rsidR="00CB1D07" w:rsidRPr="00CB1D07" w:rsidRDefault="00CB1D07" w:rsidP="00CB1D07">
            <w:pPr>
              <w:pStyle w:val="CDITable-RowCentre"/>
            </w:pPr>
            <w:r w:rsidRPr="00CB1D07">
              <w:t>18.6</w:t>
            </w:r>
          </w:p>
        </w:tc>
        <w:tc>
          <w:tcPr>
            <w:tcW w:w="737" w:type="dxa"/>
            <w:tcBorders>
              <w:bottom w:val="single" w:sz="6" w:space="0" w:color="033636" w:themeColor="text2"/>
            </w:tcBorders>
            <w:tcMar>
              <w:top w:w="113" w:type="dxa"/>
              <w:left w:w="113" w:type="dxa"/>
              <w:bottom w:w="113" w:type="dxa"/>
              <w:right w:w="113" w:type="dxa"/>
            </w:tcMar>
            <w:vAlign w:val="center"/>
          </w:tcPr>
          <w:p w14:paraId="4C556676" w14:textId="77777777" w:rsidR="00CB1D07" w:rsidRPr="00CB1D07" w:rsidRDefault="00CB1D07" w:rsidP="00CB1D07">
            <w:pPr>
              <w:pStyle w:val="CDITable-RowCentre"/>
            </w:pPr>
            <w:r w:rsidRPr="00CB1D07">
              <w:t>15.6</w:t>
            </w:r>
          </w:p>
        </w:tc>
        <w:tc>
          <w:tcPr>
            <w:tcW w:w="737" w:type="dxa"/>
            <w:tcBorders>
              <w:bottom w:val="single" w:sz="6" w:space="0" w:color="033636" w:themeColor="text2"/>
            </w:tcBorders>
            <w:tcMar>
              <w:top w:w="113" w:type="dxa"/>
              <w:left w:w="113" w:type="dxa"/>
              <w:bottom w:w="113" w:type="dxa"/>
              <w:right w:w="113" w:type="dxa"/>
            </w:tcMar>
            <w:vAlign w:val="center"/>
          </w:tcPr>
          <w:p w14:paraId="034888DA" w14:textId="77777777" w:rsidR="00CB1D07" w:rsidRPr="00CB1D07" w:rsidRDefault="00CB1D07" w:rsidP="00CB1D07">
            <w:pPr>
              <w:pStyle w:val="CDITable-RowCentre"/>
            </w:pPr>
            <w:r w:rsidRPr="00CB1D07">
              <w:t>13.6</w:t>
            </w:r>
          </w:p>
        </w:tc>
        <w:tc>
          <w:tcPr>
            <w:tcW w:w="737" w:type="dxa"/>
            <w:tcBorders>
              <w:bottom w:val="single" w:sz="6" w:space="0" w:color="033636" w:themeColor="text2"/>
            </w:tcBorders>
            <w:tcMar>
              <w:top w:w="113" w:type="dxa"/>
              <w:left w:w="113" w:type="dxa"/>
              <w:bottom w:w="113" w:type="dxa"/>
              <w:right w:w="113" w:type="dxa"/>
            </w:tcMar>
            <w:vAlign w:val="center"/>
          </w:tcPr>
          <w:p w14:paraId="10B6B5BE" w14:textId="77777777" w:rsidR="00CB1D07" w:rsidRPr="00CB1D07" w:rsidRDefault="00CB1D07" w:rsidP="00CB1D07">
            <w:pPr>
              <w:pStyle w:val="CDITable-RowCentre"/>
            </w:pPr>
            <w:r w:rsidRPr="00CB1D07">
              <w:t>32.1</w:t>
            </w:r>
          </w:p>
        </w:tc>
        <w:tc>
          <w:tcPr>
            <w:tcW w:w="737" w:type="dxa"/>
            <w:tcBorders>
              <w:bottom w:val="single" w:sz="6" w:space="0" w:color="033636" w:themeColor="text2"/>
            </w:tcBorders>
            <w:tcMar>
              <w:top w:w="113" w:type="dxa"/>
              <w:left w:w="113" w:type="dxa"/>
              <w:bottom w:w="113" w:type="dxa"/>
              <w:right w:w="113" w:type="dxa"/>
            </w:tcMar>
            <w:vAlign w:val="center"/>
          </w:tcPr>
          <w:p w14:paraId="4C66E363" w14:textId="77777777" w:rsidR="00CB1D07" w:rsidRPr="00CB1D07" w:rsidRDefault="00CB1D07" w:rsidP="00CB1D07">
            <w:pPr>
              <w:pStyle w:val="CDITable-RowCentre"/>
            </w:pPr>
            <w:r w:rsidRPr="00CB1D07">
              <w:t>45.4</w:t>
            </w:r>
          </w:p>
        </w:tc>
        <w:tc>
          <w:tcPr>
            <w:tcW w:w="73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22E21A3" w14:textId="77777777" w:rsidR="00CB1D07" w:rsidRPr="00CB1D07" w:rsidRDefault="00CB1D07" w:rsidP="00CB1D07">
            <w:pPr>
              <w:pStyle w:val="CDITable-RowCentre"/>
            </w:pPr>
            <w:r w:rsidRPr="00CB1D07">
              <w:t>41.2</w:t>
            </w:r>
          </w:p>
        </w:tc>
        <w:tc>
          <w:tcPr>
            <w:tcW w:w="73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ECD276E" w14:textId="77777777" w:rsidR="00CB1D07" w:rsidRPr="00CB1D07" w:rsidRDefault="00CB1D07" w:rsidP="00CB1D07">
            <w:pPr>
              <w:pStyle w:val="CDITable-RowCentre"/>
            </w:pPr>
            <w:r w:rsidRPr="00CB1D07">
              <w:t>2.2</w:t>
            </w:r>
          </w:p>
        </w:tc>
        <w:tc>
          <w:tcPr>
            <w:tcW w:w="879" w:type="dxa"/>
            <w:tcBorders>
              <w:bottom w:val="single" w:sz="6" w:space="0" w:color="033636" w:themeColor="text2"/>
            </w:tcBorders>
            <w:tcMar>
              <w:top w:w="113" w:type="dxa"/>
              <w:left w:w="113" w:type="dxa"/>
              <w:bottom w:w="113" w:type="dxa"/>
              <w:right w:w="113" w:type="dxa"/>
            </w:tcMar>
            <w:vAlign w:val="center"/>
          </w:tcPr>
          <w:p w14:paraId="7F6E9028" w14:textId="77777777" w:rsidR="00CB1D07" w:rsidRPr="00CB1D07" w:rsidRDefault="00CB1D07" w:rsidP="00CB1D07">
            <w:pPr>
              <w:pStyle w:val="CDITable-RowCentre"/>
            </w:pPr>
            <w:r w:rsidRPr="00CB1D07">
              <w:t>1.8–2.6</w:t>
            </w:r>
          </w:p>
        </w:tc>
        <w:tc>
          <w:tcPr>
            <w:tcW w:w="878" w:type="dxa"/>
            <w:tcBorders>
              <w:bottom w:val="single" w:sz="6" w:space="0" w:color="033636" w:themeColor="text2"/>
            </w:tcBorders>
            <w:tcMar>
              <w:top w:w="113" w:type="dxa"/>
              <w:left w:w="113" w:type="dxa"/>
              <w:bottom w:w="113" w:type="dxa"/>
              <w:right w:w="113" w:type="dxa"/>
            </w:tcMar>
            <w:vAlign w:val="center"/>
          </w:tcPr>
          <w:p w14:paraId="4F9D4FA2" w14:textId="77777777" w:rsidR="00CB1D07" w:rsidRPr="00CB1D07" w:rsidRDefault="00CB1D07" w:rsidP="00CB1D07">
            <w:pPr>
              <w:pStyle w:val="CDITable-RowCentre"/>
            </w:pPr>
            <w:r w:rsidRPr="00CB1D07">
              <w:t>&lt; 0.001</w:t>
            </w:r>
          </w:p>
        </w:tc>
      </w:tr>
      <w:tr w:rsidR="00CB1D07" w:rsidRPr="00CB1D07" w14:paraId="427F8440" w14:textId="77777777" w:rsidTr="005A3253">
        <w:trPr>
          <w:divId w:val="935526654"/>
          <w:trHeight w:val="20"/>
        </w:trPr>
        <w:tc>
          <w:tcPr>
            <w:tcW w:w="1417" w:type="dxa"/>
            <w:vMerge/>
            <w:tcBorders>
              <w:bottom w:val="single" w:sz="6" w:space="0" w:color="033636" w:themeColor="text2"/>
            </w:tcBorders>
            <w:shd w:val="clear" w:color="auto" w:fill="C5FFEF" w:themeFill="background2" w:themeFillTint="33"/>
          </w:tcPr>
          <w:p w14:paraId="110C010C" w14:textId="77777777" w:rsidR="00CB1D07" w:rsidRPr="00CB1D07" w:rsidRDefault="00CB1D07" w:rsidP="00CB1D07">
            <w:pPr>
              <w:pStyle w:val="CDITable-RowLeft"/>
            </w:pPr>
          </w:p>
        </w:tc>
        <w:tc>
          <w:tcPr>
            <w:tcW w:w="158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490D199" w14:textId="77777777" w:rsidR="00CB1D07" w:rsidRPr="00CB1D07" w:rsidRDefault="00CB1D07" w:rsidP="00CB1D07">
            <w:pPr>
              <w:pStyle w:val="CDITable-RowLeft"/>
            </w:pPr>
            <w:r w:rsidRPr="00CB1D07">
              <w:t>1–5</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2C5A2D1" w14:textId="77777777" w:rsidR="00CB1D07" w:rsidRPr="00CB1D07" w:rsidRDefault="00CB1D07" w:rsidP="00CB1D07">
            <w:pPr>
              <w:pStyle w:val="CDITable-RowCentre"/>
            </w:pPr>
            <w:r w:rsidRPr="00CB1D07">
              <w:t>39</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303E34C" w14:textId="77777777" w:rsidR="00CB1D07" w:rsidRPr="00CB1D07" w:rsidRDefault="00CB1D07" w:rsidP="00CB1D07">
            <w:pPr>
              <w:pStyle w:val="CDITable-RowCentre"/>
            </w:pPr>
            <w:r w:rsidRPr="00CB1D07">
              <w:t>28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33BD5E" w14:textId="77777777" w:rsidR="00CB1D07" w:rsidRPr="00CB1D07" w:rsidRDefault="00CB1D07" w:rsidP="00CB1D07">
            <w:pPr>
              <w:pStyle w:val="CDITable-RowCentre"/>
            </w:pPr>
            <w:r w:rsidRPr="00CB1D07">
              <w:t>65</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6F4820F" w14:textId="77777777" w:rsidR="00CB1D07" w:rsidRPr="00CB1D07" w:rsidRDefault="00CB1D07" w:rsidP="00CB1D07">
            <w:pPr>
              <w:pStyle w:val="CDITable-RowCentre"/>
            </w:pPr>
            <w:r w:rsidRPr="00CB1D07">
              <w:t>64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D2E5B28" w14:textId="77777777" w:rsidR="00CB1D07" w:rsidRPr="00CB1D07" w:rsidRDefault="00CB1D07" w:rsidP="00CB1D07">
            <w:pPr>
              <w:pStyle w:val="CDITable-RowCentre"/>
            </w:pPr>
            <w:r w:rsidRPr="00CB1D07">
              <w:t>136</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66BE1FB" w14:textId="77777777" w:rsidR="00CB1D07" w:rsidRPr="00CB1D07" w:rsidRDefault="00CB1D07" w:rsidP="00CB1D07">
            <w:pPr>
              <w:pStyle w:val="CDITable-RowCentre"/>
            </w:pPr>
            <w:r w:rsidRPr="00CB1D07">
              <w:t>132</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3C9027E" w14:textId="77777777" w:rsidR="00CB1D07" w:rsidRPr="00CB1D07" w:rsidRDefault="00CB1D07" w:rsidP="00CB1D07">
            <w:pPr>
              <w:pStyle w:val="CDITable-RowCentre"/>
            </w:pPr>
            <w:r w:rsidRPr="00CB1D07">
              <w:t>2.4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1719157" w14:textId="77777777" w:rsidR="00CB1D07" w:rsidRPr="00CB1D07" w:rsidRDefault="00CB1D07" w:rsidP="00CB1D07">
            <w:pPr>
              <w:pStyle w:val="CDITable-RowCentre"/>
            </w:pPr>
            <w:r w:rsidRPr="00CB1D07">
              <w:t>1.8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CE169EE" w14:textId="77777777" w:rsidR="00CB1D07" w:rsidRPr="00CB1D07" w:rsidRDefault="00CB1D07" w:rsidP="00CB1D07">
            <w:pPr>
              <w:pStyle w:val="CDITable-RowCentre"/>
            </w:pPr>
            <w:r w:rsidRPr="00CB1D07">
              <w:t>4.2</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EA9B98F" w14:textId="77777777" w:rsidR="00CB1D07" w:rsidRPr="00CB1D07" w:rsidRDefault="00CB1D07" w:rsidP="00CB1D07">
            <w:pPr>
              <w:pStyle w:val="CDITable-RowCentre"/>
            </w:pPr>
            <w:r w:rsidRPr="00CB1D07">
              <w:t>4.4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409020" w14:textId="77777777" w:rsidR="00CB1D07" w:rsidRPr="00CB1D07" w:rsidRDefault="00CB1D07" w:rsidP="00CB1D07">
            <w:pPr>
              <w:pStyle w:val="CDITable-RowCentre"/>
            </w:pPr>
            <w:r w:rsidRPr="00CB1D07">
              <w:t>9.4</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7E5C1C3" w14:textId="77777777" w:rsidR="00CB1D07" w:rsidRPr="00CB1D07" w:rsidRDefault="00CB1D07" w:rsidP="00CB1D07">
            <w:pPr>
              <w:pStyle w:val="CDITable-RowCentre"/>
            </w:pPr>
            <w:r w:rsidRPr="00CB1D07">
              <w:t>8.6</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4474123" w14:textId="77777777" w:rsidR="00CB1D07" w:rsidRPr="00CB1D07" w:rsidRDefault="00CB1D07" w:rsidP="00CB1D07">
            <w:pPr>
              <w:pStyle w:val="CDITable-RowCentre"/>
            </w:pPr>
            <w:r w:rsidRPr="00CB1D07">
              <w:t>2.9</w:t>
            </w:r>
          </w:p>
        </w:tc>
        <w:tc>
          <w:tcPr>
            <w:tcW w:w="87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C9AC823" w14:textId="77777777" w:rsidR="00CB1D07" w:rsidRPr="00CB1D07" w:rsidRDefault="00CB1D07" w:rsidP="00CB1D07">
            <w:pPr>
              <w:pStyle w:val="CDITable-RowCentre"/>
            </w:pPr>
            <w:r w:rsidRPr="00CB1D07">
              <w:t>2.4–3.4</w:t>
            </w:r>
          </w:p>
        </w:tc>
        <w:tc>
          <w:tcPr>
            <w:tcW w:w="87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8FCBA2F" w14:textId="77777777" w:rsidR="00CB1D07" w:rsidRPr="00CB1D07" w:rsidRDefault="00CB1D07" w:rsidP="00CB1D07">
            <w:pPr>
              <w:pStyle w:val="CDITable-RowCentre"/>
            </w:pPr>
            <w:r w:rsidRPr="00CB1D07">
              <w:t>&lt; 0.001</w:t>
            </w:r>
          </w:p>
        </w:tc>
      </w:tr>
      <w:tr w:rsidR="00CB1D07" w:rsidRPr="00CB1D07" w14:paraId="7B13BF30" w14:textId="77777777" w:rsidTr="005A3253">
        <w:trPr>
          <w:divId w:val="935526654"/>
          <w:trHeight w:val="20"/>
        </w:trPr>
        <w:tc>
          <w:tcPr>
            <w:tcW w:w="1417" w:type="dxa"/>
            <w:vMerge/>
            <w:tcBorders>
              <w:bottom w:val="single" w:sz="6" w:space="0" w:color="033636" w:themeColor="text2"/>
            </w:tcBorders>
            <w:shd w:val="clear" w:color="auto" w:fill="C5FFEF" w:themeFill="background2" w:themeFillTint="33"/>
          </w:tcPr>
          <w:p w14:paraId="310169A9" w14:textId="77777777" w:rsidR="00CB1D07" w:rsidRPr="00CB1D07" w:rsidRDefault="00CB1D07" w:rsidP="00CB1D07">
            <w:pPr>
              <w:pStyle w:val="CDITable-RowLeft"/>
            </w:pPr>
          </w:p>
        </w:tc>
        <w:tc>
          <w:tcPr>
            <w:tcW w:w="158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3F4D24" w14:textId="77777777" w:rsidR="00CB1D07" w:rsidRPr="00CB1D07" w:rsidRDefault="00CB1D07" w:rsidP="00CB1D07">
            <w:pPr>
              <w:pStyle w:val="CDITable-RowLeft"/>
            </w:pPr>
            <w:r w:rsidRPr="00CB1D07">
              <w:t>6–19</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D7F2242" w14:textId="77777777" w:rsidR="00CB1D07" w:rsidRPr="00CB1D07" w:rsidRDefault="00CB1D07" w:rsidP="00CB1D07">
            <w:pPr>
              <w:pStyle w:val="CDITable-RowCentre"/>
            </w:pPr>
            <w:r w:rsidRPr="00CB1D07">
              <w:t>3</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152496C" w14:textId="77777777" w:rsidR="00CB1D07" w:rsidRPr="00CB1D07" w:rsidRDefault="00CB1D07" w:rsidP="00CB1D07">
            <w:pPr>
              <w:pStyle w:val="CDITable-RowCentre"/>
            </w:pPr>
            <w:r w:rsidRPr="00CB1D07">
              <w:t>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D76910" w14:textId="77777777" w:rsidR="00CB1D07" w:rsidRPr="00CB1D07" w:rsidRDefault="00CB1D07" w:rsidP="00CB1D07">
            <w:pPr>
              <w:pStyle w:val="CDITable-RowCentre"/>
            </w:pPr>
            <w:r w:rsidRPr="00CB1D07">
              <w:t>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E64077" w14:textId="77777777" w:rsidR="00CB1D07" w:rsidRPr="00CB1D07" w:rsidRDefault="00CB1D07" w:rsidP="00CB1D07">
            <w:pPr>
              <w:pStyle w:val="CDITable-RowCentre"/>
            </w:pPr>
            <w:r w:rsidRPr="00CB1D07">
              <w:t>5</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243CACE" w14:textId="77777777" w:rsidR="00CB1D07" w:rsidRPr="00CB1D07" w:rsidRDefault="00CB1D07" w:rsidP="00CB1D07">
            <w:pPr>
              <w:pStyle w:val="CDITable-RowCentre"/>
            </w:pPr>
            <w:r w:rsidRPr="00CB1D07">
              <w:t>6</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DC815CD" w14:textId="77777777" w:rsidR="00CB1D07" w:rsidRPr="00CB1D07" w:rsidRDefault="00CB1D07" w:rsidP="00CB1D07">
            <w:pPr>
              <w:pStyle w:val="CDITable-RowCentre"/>
            </w:pPr>
            <w:r w:rsidRPr="00CB1D07">
              <w:t>8</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FF958ED"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BD554E4" w14:textId="77777777" w:rsidR="00CB1D07" w:rsidRPr="00CB1D07" w:rsidRDefault="00CB1D07" w:rsidP="00CB1D07">
            <w:pPr>
              <w:pStyle w:val="CDITable-RowCentre"/>
            </w:pPr>
            <w:r w:rsidRPr="00CB1D07">
              <w:t>0.02</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2266BAC"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6FD6BD7"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31F0673"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8474077" w14:textId="77777777" w:rsidR="00CB1D07" w:rsidRPr="00CB1D07" w:rsidRDefault="00CB1D07" w:rsidP="00CB1D07">
            <w:pPr>
              <w:pStyle w:val="CDITable-RowCentre"/>
            </w:pPr>
            <w:r w:rsidRPr="00CB1D07">
              <w:t>0.2</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0811B80" w14:textId="77777777" w:rsidR="00CB1D07" w:rsidRPr="00CB1D07" w:rsidRDefault="00CB1D07" w:rsidP="00CB1D07">
            <w:pPr>
              <w:pStyle w:val="CDITable-RowCentre"/>
            </w:pPr>
            <w:r w:rsidRPr="00CB1D07">
              <w:t>2.1</w:t>
            </w:r>
          </w:p>
        </w:tc>
        <w:tc>
          <w:tcPr>
            <w:tcW w:w="87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08EA85" w14:textId="77777777" w:rsidR="00CB1D07" w:rsidRPr="00CB1D07" w:rsidRDefault="00CB1D07" w:rsidP="00CB1D07">
            <w:pPr>
              <w:pStyle w:val="CDITable-RowCentre"/>
            </w:pPr>
            <w:r w:rsidRPr="00CB1D07">
              <w:t>1.0–4.5</w:t>
            </w:r>
          </w:p>
        </w:tc>
        <w:tc>
          <w:tcPr>
            <w:tcW w:w="87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19D52B" w14:textId="77777777" w:rsidR="00CB1D07" w:rsidRPr="00CB1D07" w:rsidRDefault="00CB1D07" w:rsidP="00CB1D07">
            <w:pPr>
              <w:pStyle w:val="CDITable-RowCentre"/>
            </w:pPr>
            <w:r w:rsidRPr="00CB1D07">
              <w:t>0.049</w:t>
            </w:r>
          </w:p>
        </w:tc>
      </w:tr>
      <w:tr w:rsidR="00CB1D07" w:rsidRPr="00CB1D07" w14:paraId="39C7F5FF" w14:textId="77777777" w:rsidTr="005A3253">
        <w:trPr>
          <w:divId w:val="935526654"/>
          <w:trHeight w:val="20"/>
        </w:trPr>
        <w:tc>
          <w:tcPr>
            <w:tcW w:w="1417" w:type="dxa"/>
            <w:vMerge/>
            <w:tcBorders>
              <w:bottom w:val="single" w:sz="6" w:space="0" w:color="033636" w:themeColor="text2"/>
            </w:tcBorders>
            <w:shd w:val="clear" w:color="auto" w:fill="C5FFEF" w:themeFill="background2" w:themeFillTint="33"/>
          </w:tcPr>
          <w:p w14:paraId="3F9A9C48" w14:textId="77777777" w:rsidR="00CB1D07" w:rsidRPr="00CB1D07" w:rsidRDefault="00CB1D07" w:rsidP="00CB1D07">
            <w:pPr>
              <w:pStyle w:val="CDITable-RowLeft"/>
            </w:pPr>
          </w:p>
        </w:tc>
        <w:tc>
          <w:tcPr>
            <w:tcW w:w="158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96A5C23" w14:textId="77777777" w:rsidR="00CB1D07" w:rsidRPr="00CB1D07" w:rsidRDefault="00CB1D07" w:rsidP="00CB1D07">
            <w:pPr>
              <w:pStyle w:val="CDITable-RowLeft"/>
            </w:pPr>
            <w:r w:rsidRPr="00CB1D07">
              <w:t>20–59</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05D665B" w14:textId="77777777" w:rsidR="00CB1D07" w:rsidRPr="00CB1D07" w:rsidRDefault="00CB1D07" w:rsidP="00CB1D07">
            <w:pPr>
              <w:pStyle w:val="CDITable-RowCentre"/>
            </w:pPr>
            <w:r w:rsidRPr="00CB1D07">
              <w:t>10</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A2CA160" w14:textId="77777777" w:rsidR="00CB1D07" w:rsidRPr="00CB1D07" w:rsidRDefault="00CB1D07" w:rsidP="00CB1D07">
            <w:pPr>
              <w:pStyle w:val="CDITable-RowCentre"/>
            </w:pPr>
            <w:r w:rsidRPr="00CB1D07">
              <w:t>5</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37C481" w14:textId="77777777" w:rsidR="00CB1D07" w:rsidRPr="00CB1D07" w:rsidRDefault="00CB1D07" w:rsidP="00CB1D07">
            <w:pPr>
              <w:pStyle w:val="CDITable-RowCentre"/>
            </w:pPr>
            <w:r w:rsidRPr="00CB1D07">
              <w:t>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F7A6087" w14:textId="77777777" w:rsidR="00CB1D07" w:rsidRPr="00CB1D07" w:rsidRDefault="00CB1D07" w:rsidP="00CB1D07">
            <w:pPr>
              <w:pStyle w:val="CDITable-RowCentre"/>
            </w:pPr>
            <w:r w:rsidRPr="00CB1D07">
              <w:t>6</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D608D1" w14:textId="77777777" w:rsidR="00CB1D07" w:rsidRPr="00CB1D07" w:rsidRDefault="00CB1D07" w:rsidP="00CB1D07">
            <w:pPr>
              <w:pStyle w:val="CDITable-RowCentre"/>
            </w:pPr>
            <w:r w:rsidRPr="00CB1D07">
              <w:t>16</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21CF15F" w14:textId="77777777" w:rsidR="00CB1D07" w:rsidRPr="00CB1D07" w:rsidRDefault="00CB1D07" w:rsidP="00CB1D07">
            <w:pPr>
              <w:pStyle w:val="CDITable-RowCentre"/>
            </w:pPr>
            <w:r w:rsidRPr="00CB1D07">
              <w:t>24</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B64B33C"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13CE9F4" w14:textId="77777777" w:rsidR="00CB1D07" w:rsidRPr="00CB1D07" w:rsidRDefault="00CB1D07" w:rsidP="00CB1D07">
            <w:pPr>
              <w:pStyle w:val="CDITable-RowCentre"/>
            </w:pPr>
            <w:r w:rsidRPr="00CB1D07">
              <w:t>0.04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8E7F182"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528E716"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360F2F" w14:textId="77777777" w:rsidR="00CB1D07" w:rsidRPr="00CB1D07" w:rsidRDefault="00CB1D07" w:rsidP="00CB1D07">
            <w:pPr>
              <w:pStyle w:val="CDITable-RowCentre"/>
            </w:pPr>
            <w:r w:rsidRPr="00CB1D07">
              <w:t>0.1</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DF14FE6" w14:textId="77777777" w:rsidR="00CB1D07" w:rsidRPr="00CB1D07" w:rsidRDefault="00CB1D07" w:rsidP="00CB1D07">
            <w:pPr>
              <w:pStyle w:val="CDITable-RowCentre"/>
            </w:pPr>
            <w:r w:rsidRPr="00CB1D07">
              <w:t>0.2</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D92EB84" w14:textId="77777777" w:rsidR="00CB1D07" w:rsidRPr="00CB1D07" w:rsidRDefault="00CB1D07" w:rsidP="00CB1D07">
            <w:pPr>
              <w:pStyle w:val="CDITable-RowCentre"/>
            </w:pPr>
            <w:r w:rsidRPr="00CB1D07">
              <w:t>2.8</w:t>
            </w:r>
          </w:p>
        </w:tc>
        <w:tc>
          <w:tcPr>
            <w:tcW w:w="87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862134E" w14:textId="77777777" w:rsidR="00CB1D07" w:rsidRPr="00CB1D07" w:rsidRDefault="00CB1D07" w:rsidP="00CB1D07">
            <w:pPr>
              <w:pStyle w:val="CDITable-RowCentre"/>
            </w:pPr>
            <w:r w:rsidRPr="00CB1D07">
              <w:t>1.7–4.4</w:t>
            </w:r>
          </w:p>
        </w:tc>
        <w:tc>
          <w:tcPr>
            <w:tcW w:w="87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58B3DA0" w14:textId="77777777" w:rsidR="00CB1D07" w:rsidRPr="00CB1D07" w:rsidRDefault="00CB1D07" w:rsidP="00CB1D07">
            <w:pPr>
              <w:pStyle w:val="CDITable-RowCentre"/>
            </w:pPr>
            <w:r w:rsidRPr="00CB1D07">
              <w:t>&lt; 0.001</w:t>
            </w:r>
          </w:p>
        </w:tc>
      </w:tr>
      <w:tr w:rsidR="00CB1D07" w:rsidRPr="00CB1D07" w14:paraId="28FB436B" w14:textId="77777777" w:rsidTr="005A3253">
        <w:trPr>
          <w:divId w:val="935526654"/>
          <w:trHeight w:val="20"/>
        </w:trPr>
        <w:tc>
          <w:tcPr>
            <w:tcW w:w="1417" w:type="dxa"/>
            <w:vMerge/>
            <w:tcBorders>
              <w:bottom w:val="single" w:sz="6" w:space="0" w:color="033636" w:themeColor="text2"/>
            </w:tcBorders>
            <w:shd w:val="clear" w:color="auto" w:fill="C5FFEF" w:themeFill="background2" w:themeFillTint="33"/>
          </w:tcPr>
          <w:p w14:paraId="47350D6E" w14:textId="77777777" w:rsidR="00CB1D07" w:rsidRPr="00CB1D07" w:rsidRDefault="00CB1D07" w:rsidP="00CB1D07">
            <w:pPr>
              <w:pStyle w:val="CDITable-RowLeft"/>
            </w:pPr>
          </w:p>
        </w:tc>
        <w:tc>
          <w:tcPr>
            <w:tcW w:w="158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510DF9" w14:textId="77777777" w:rsidR="00CB1D07" w:rsidRPr="00CB1D07" w:rsidRDefault="00CB1D07" w:rsidP="00CB1D07">
            <w:pPr>
              <w:pStyle w:val="CDITable-RowLeft"/>
            </w:pPr>
            <w:r w:rsidRPr="00CB1D07">
              <w:t>≥ 60</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5920192" w14:textId="77777777" w:rsidR="00CB1D07" w:rsidRPr="00CB1D07" w:rsidRDefault="00CB1D07" w:rsidP="00CB1D07">
            <w:pPr>
              <w:pStyle w:val="CDITable-RowCentre"/>
            </w:pPr>
            <w:r w:rsidRPr="00CB1D07">
              <w:t>16</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D52F809" w14:textId="77777777" w:rsidR="00CB1D07" w:rsidRPr="00CB1D07" w:rsidRDefault="00CB1D07" w:rsidP="00CB1D07">
            <w:pPr>
              <w:pStyle w:val="CDITable-RowCentre"/>
            </w:pPr>
            <w:r w:rsidRPr="00CB1D07">
              <w:t>36</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023B60" w14:textId="77777777" w:rsidR="00CB1D07" w:rsidRPr="00CB1D07" w:rsidRDefault="00CB1D07" w:rsidP="00CB1D07">
            <w:pPr>
              <w:pStyle w:val="CDITable-RowCentre"/>
            </w:pPr>
            <w:r w:rsidRPr="00CB1D07">
              <w:t>12</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AC9E00" w14:textId="77777777" w:rsidR="00CB1D07" w:rsidRPr="00CB1D07" w:rsidRDefault="00CB1D07" w:rsidP="00CB1D07">
            <w:pPr>
              <w:pStyle w:val="CDITable-RowCentre"/>
            </w:pPr>
            <w:r w:rsidRPr="00CB1D07">
              <w:t>28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43654D2" w14:textId="77777777" w:rsidR="00CB1D07" w:rsidRPr="00CB1D07" w:rsidRDefault="00CB1D07" w:rsidP="00CB1D07">
            <w:pPr>
              <w:pStyle w:val="CDITable-RowCentre"/>
            </w:pPr>
            <w:r w:rsidRPr="00CB1D07">
              <w:t>64</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360C892" w14:textId="77777777" w:rsidR="00CB1D07" w:rsidRPr="00CB1D07" w:rsidRDefault="00CB1D07" w:rsidP="00CB1D07">
            <w:pPr>
              <w:pStyle w:val="CDITable-RowCentre"/>
            </w:pPr>
            <w:r w:rsidRPr="00CB1D07">
              <w:t>72</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2FB3912" w14:textId="77777777" w:rsidR="00CB1D07" w:rsidRPr="00CB1D07" w:rsidRDefault="00CB1D07" w:rsidP="00CB1D07">
            <w:pPr>
              <w:pStyle w:val="CDITable-RowCentre"/>
            </w:pPr>
            <w:r w:rsidRPr="00CB1D07">
              <w:t>0.4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AC92B92" w14:textId="77777777" w:rsidR="00CB1D07" w:rsidRPr="00CB1D07" w:rsidRDefault="00CB1D07" w:rsidP="00CB1D07">
            <w:pPr>
              <w:pStyle w:val="CDITable-RowCentre"/>
            </w:pPr>
            <w:r w:rsidRPr="00CB1D07">
              <w:t>0.9</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2997D8B" w14:textId="77777777" w:rsidR="00CB1D07" w:rsidRPr="00CB1D07" w:rsidRDefault="00CB1D07" w:rsidP="00CB1D07">
            <w:pPr>
              <w:pStyle w:val="CDITable-RowCentre"/>
            </w:pPr>
            <w:r w:rsidRPr="00CB1D07">
              <w:t>0.3</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57220EE" w14:textId="77777777" w:rsidR="00CB1D07" w:rsidRPr="00CB1D07" w:rsidRDefault="00CB1D07" w:rsidP="00CB1D07">
            <w:pPr>
              <w:pStyle w:val="CDITable-RowCentre"/>
            </w:pPr>
            <w:r w:rsidRPr="00CB1D07">
              <w:t>0.6</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665FF5C" w14:textId="77777777" w:rsidR="00CB1D07" w:rsidRPr="00CB1D07" w:rsidRDefault="00CB1D07" w:rsidP="00CB1D07">
            <w:pPr>
              <w:pStyle w:val="CDITable-RowCentre"/>
            </w:pPr>
            <w:r w:rsidRPr="00CB1D07">
              <w:t>1.3</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2024F68" w14:textId="77777777" w:rsidR="00CB1D07" w:rsidRPr="00CB1D07" w:rsidRDefault="00CB1D07" w:rsidP="00CB1D07">
            <w:pPr>
              <w:pStyle w:val="CDITable-RowCentre"/>
            </w:pPr>
            <w:r w:rsidRPr="00CB1D07">
              <w:t>1.6</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DACFA3C" w14:textId="77777777" w:rsidR="00CB1D07" w:rsidRPr="00CB1D07" w:rsidRDefault="00CB1D07" w:rsidP="00CB1D07">
            <w:pPr>
              <w:pStyle w:val="CDITable-RowCentre"/>
            </w:pPr>
            <w:r w:rsidRPr="00CB1D07">
              <w:t>2.8</w:t>
            </w:r>
          </w:p>
        </w:tc>
        <w:tc>
          <w:tcPr>
            <w:tcW w:w="87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08A525" w14:textId="77777777" w:rsidR="00CB1D07" w:rsidRPr="00CB1D07" w:rsidRDefault="00CB1D07" w:rsidP="00CB1D07">
            <w:pPr>
              <w:pStyle w:val="CDITable-RowCentre"/>
            </w:pPr>
            <w:r w:rsidRPr="00CB1D07">
              <w:t>2.1–3.6</w:t>
            </w:r>
          </w:p>
        </w:tc>
        <w:tc>
          <w:tcPr>
            <w:tcW w:w="87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6B42BA5" w14:textId="77777777" w:rsidR="00CB1D07" w:rsidRPr="00CB1D07" w:rsidRDefault="00CB1D07" w:rsidP="00CB1D07">
            <w:pPr>
              <w:pStyle w:val="CDITable-RowCentre"/>
            </w:pPr>
            <w:r w:rsidRPr="00CB1D07">
              <w:t>&lt; 0.001</w:t>
            </w:r>
          </w:p>
        </w:tc>
      </w:tr>
      <w:tr w:rsidR="00CB1D07" w:rsidRPr="00CB1D07" w14:paraId="22B60B53" w14:textId="77777777" w:rsidTr="005A3253">
        <w:trPr>
          <w:divId w:val="935526654"/>
          <w:trHeight w:val="20"/>
        </w:trPr>
        <w:tc>
          <w:tcPr>
            <w:tcW w:w="1417" w:type="dxa"/>
            <w:vMerge w:val="restart"/>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A562541" w14:textId="77777777" w:rsidR="00CB1D07" w:rsidRPr="00CB1D07" w:rsidRDefault="00CB1D07" w:rsidP="00CB1D07">
            <w:pPr>
              <w:pStyle w:val="CDITable-RowLeft"/>
            </w:pPr>
            <w:r w:rsidRPr="00CB1D07">
              <w:t>Indigenous status</w:t>
            </w:r>
          </w:p>
        </w:tc>
        <w:tc>
          <w:tcPr>
            <w:tcW w:w="158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5E01018" w14:textId="77777777" w:rsidR="00CB1D07" w:rsidRPr="00CB1D07" w:rsidRDefault="00CB1D07" w:rsidP="00CB1D07">
            <w:pPr>
              <w:pStyle w:val="CDITable-RowLeft"/>
            </w:pPr>
            <w:r w:rsidRPr="00CB1D07">
              <w:t>Indigenous</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FD64E9F" w14:textId="77777777" w:rsidR="00CB1D07" w:rsidRPr="00CB1D07" w:rsidRDefault="00CB1D07" w:rsidP="00CB1D07">
            <w:pPr>
              <w:pStyle w:val="CDITable-RowCentre"/>
            </w:pPr>
            <w:r w:rsidRPr="00CB1D07">
              <w:t>31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B9304CD" w14:textId="77777777" w:rsidR="00CB1D07" w:rsidRPr="00CB1D07" w:rsidRDefault="00CB1D07" w:rsidP="00CB1D07">
            <w:pPr>
              <w:pStyle w:val="CDITable-RowCentre"/>
            </w:pPr>
            <w:r w:rsidRPr="00CB1D07">
              <w:t>18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22BFA8D" w14:textId="77777777" w:rsidR="00CB1D07" w:rsidRPr="00CB1D07" w:rsidRDefault="00CB1D07" w:rsidP="00CB1D07">
            <w:pPr>
              <w:pStyle w:val="CDITable-RowCentre"/>
            </w:pPr>
            <w:r w:rsidRPr="00CB1D07">
              <w:t>30</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C37B10A" w14:textId="77777777" w:rsidR="00CB1D07" w:rsidRPr="00CB1D07" w:rsidRDefault="00CB1D07" w:rsidP="00CB1D07">
            <w:pPr>
              <w:pStyle w:val="CDITable-RowCentre"/>
            </w:pPr>
            <w:r w:rsidRPr="00CB1D07">
              <w:t>43</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F8FA0DA" w14:textId="77777777" w:rsidR="00CB1D07" w:rsidRPr="00CB1D07" w:rsidRDefault="00CB1D07" w:rsidP="00CB1D07">
            <w:pPr>
              <w:pStyle w:val="CDITable-RowCentre"/>
            </w:pPr>
            <w:r w:rsidRPr="00CB1D07">
              <w:t>67</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41AAB55" w14:textId="77777777" w:rsidR="00CB1D07" w:rsidRPr="00CB1D07" w:rsidRDefault="00CB1D07" w:rsidP="00CB1D07">
            <w:pPr>
              <w:pStyle w:val="CDITable-RowCentre"/>
            </w:pPr>
            <w:r w:rsidRPr="00CB1D07">
              <w:t>57</w:t>
            </w:r>
          </w:p>
        </w:tc>
        <w:tc>
          <w:tcPr>
            <w:tcW w:w="73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E2B9115" w14:textId="77777777" w:rsidR="00CB1D07" w:rsidRPr="00CB1D07" w:rsidRDefault="00CB1D07" w:rsidP="00CB1D07">
            <w:pPr>
              <w:pStyle w:val="CDITable-RowCentre"/>
            </w:pPr>
            <w:r w:rsidRPr="00CB1D07">
              <w:t>2.0</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6984C2" w14:textId="77777777" w:rsidR="00CB1D07" w:rsidRPr="00CB1D07" w:rsidRDefault="00CB1D07" w:rsidP="00CB1D07">
            <w:pPr>
              <w:pStyle w:val="CDITable-RowCentre"/>
            </w:pPr>
            <w:r w:rsidRPr="00CB1D07">
              <w:t>1.1</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316CDCF" w14:textId="77777777" w:rsidR="00CB1D07" w:rsidRPr="00CB1D07" w:rsidRDefault="00CB1D07" w:rsidP="00CB1D07">
            <w:pPr>
              <w:pStyle w:val="CDITable-RowCentre"/>
            </w:pPr>
            <w:r w:rsidRPr="00CB1D07">
              <w:t>1.8</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CE2550A" w14:textId="77777777" w:rsidR="00CB1D07" w:rsidRPr="00CB1D07" w:rsidRDefault="00CB1D07" w:rsidP="00CB1D07">
            <w:pPr>
              <w:pStyle w:val="CDITable-RowCentre"/>
            </w:pPr>
            <w:r w:rsidRPr="00CB1D07">
              <w:t>2.4</w:t>
            </w:r>
          </w:p>
        </w:tc>
        <w:tc>
          <w:tcPr>
            <w:tcW w:w="73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E54E7A" w14:textId="77777777" w:rsidR="00CB1D07" w:rsidRPr="00CB1D07" w:rsidRDefault="00CB1D07" w:rsidP="00CB1D07">
            <w:pPr>
              <w:pStyle w:val="CDITable-RowCentre"/>
            </w:pPr>
            <w:r w:rsidRPr="00CB1D07">
              <w:t>3.7</w:t>
            </w:r>
          </w:p>
        </w:tc>
        <w:tc>
          <w:tcPr>
            <w:tcW w:w="73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500831A" w14:textId="77777777" w:rsidR="00CB1D07" w:rsidRPr="00CB1D07" w:rsidRDefault="00CB1D07" w:rsidP="00CB1D07">
            <w:pPr>
              <w:pStyle w:val="CDITable-RowCentre"/>
            </w:pPr>
            <w:r w:rsidRPr="00CB1D07">
              <w:t>3.3</w:t>
            </w:r>
          </w:p>
        </w:tc>
        <w:tc>
          <w:tcPr>
            <w:tcW w:w="737" w:type="dxa"/>
            <w:vMerge w:val="restart"/>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7FB23BC2" w14:textId="77777777" w:rsidR="00CB1D07" w:rsidRPr="00CB1D07" w:rsidRDefault="00CB1D07" w:rsidP="00CB1D07">
            <w:pPr>
              <w:pStyle w:val="CDITable-RowCentre"/>
            </w:pPr>
            <w:r w:rsidRPr="00CB1D07">
              <w:t>3.1</w:t>
            </w:r>
          </w:p>
        </w:tc>
        <w:tc>
          <w:tcPr>
            <w:tcW w:w="879" w:type="dxa"/>
            <w:vMerge w:val="restart"/>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3AB6DF8" w14:textId="77777777" w:rsidR="00CB1D07" w:rsidRPr="00CB1D07" w:rsidRDefault="00CB1D07" w:rsidP="00CB1D07">
            <w:pPr>
              <w:pStyle w:val="CDITable-RowCentre"/>
            </w:pPr>
            <w:r w:rsidRPr="00CB1D07">
              <w:t>2.7–3.6</w:t>
            </w:r>
            <w:r w:rsidRPr="00817197">
              <w:rPr>
                <w:vertAlign w:val="superscript"/>
              </w:rPr>
              <w:t>c</w:t>
            </w:r>
          </w:p>
        </w:tc>
        <w:tc>
          <w:tcPr>
            <w:tcW w:w="878" w:type="dxa"/>
            <w:vMerge w:val="restart"/>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2A6C3E6" w14:textId="77777777" w:rsidR="00CB1D07" w:rsidRPr="00CB1D07" w:rsidRDefault="00CB1D07" w:rsidP="00CB1D07">
            <w:pPr>
              <w:pStyle w:val="CDITable-RowCentre"/>
            </w:pPr>
            <w:r w:rsidRPr="00CB1D07">
              <w:t>&lt; 0.001</w:t>
            </w:r>
          </w:p>
        </w:tc>
      </w:tr>
      <w:tr w:rsidR="00CB1D07" w:rsidRPr="00CB1D07" w14:paraId="05BDAFE3" w14:textId="77777777" w:rsidTr="00CB1D07">
        <w:trPr>
          <w:divId w:val="935526654"/>
          <w:trHeight w:val="20"/>
        </w:trPr>
        <w:tc>
          <w:tcPr>
            <w:tcW w:w="1417" w:type="dxa"/>
            <w:vMerge/>
            <w:tcBorders>
              <w:bottom w:val="single" w:sz="8" w:space="0" w:color="033636" w:themeColor="text2"/>
            </w:tcBorders>
            <w:shd w:val="clear" w:color="auto" w:fill="C5FFEF" w:themeFill="background2" w:themeFillTint="33"/>
          </w:tcPr>
          <w:p w14:paraId="3CDD2E8B" w14:textId="77777777" w:rsidR="00CB1D07" w:rsidRPr="00CB1D07" w:rsidRDefault="00CB1D07" w:rsidP="00CB1D07"/>
        </w:tc>
        <w:tc>
          <w:tcPr>
            <w:tcW w:w="1588"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C4F579A" w14:textId="77777777" w:rsidR="00CB1D07" w:rsidRPr="00CB1D07" w:rsidRDefault="00CB1D07" w:rsidP="00CB1D07">
            <w:pPr>
              <w:pStyle w:val="CDITable-RowLeft"/>
            </w:pPr>
            <w:r w:rsidRPr="00CB1D07">
              <w:t>non-Indigenous</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AE05EE6" w14:textId="77777777" w:rsidR="00CB1D07" w:rsidRPr="00CB1D07" w:rsidRDefault="00CB1D07" w:rsidP="00CB1D07">
            <w:pPr>
              <w:pStyle w:val="CDITable-RowCentre"/>
            </w:pPr>
            <w:r w:rsidRPr="00CB1D07">
              <w:t>92</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CA580FB" w14:textId="77777777" w:rsidR="00CB1D07" w:rsidRPr="00CB1D07" w:rsidRDefault="00CB1D07" w:rsidP="00CB1D07">
            <w:pPr>
              <w:pStyle w:val="CDITable-RowCentre"/>
            </w:pPr>
            <w:r w:rsidRPr="00CB1D07">
              <w:t>98</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4521ED0" w14:textId="77777777" w:rsidR="00CB1D07" w:rsidRPr="00CB1D07" w:rsidRDefault="00CB1D07" w:rsidP="00CB1D07">
            <w:pPr>
              <w:pStyle w:val="CDITable-RowCentre"/>
            </w:pPr>
            <w:r w:rsidRPr="00CB1D07">
              <w:t>99</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D74CE53" w14:textId="77777777" w:rsidR="00CB1D07" w:rsidRPr="00CB1D07" w:rsidRDefault="00CB1D07" w:rsidP="00CB1D07">
            <w:pPr>
              <w:pStyle w:val="CDITable-RowCentre"/>
            </w:pPr>
            <w:r w:rsidRPr="00CB1D07">
              <w:t>145</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51C5246" w14:textId="77777777" w:rsidR="00CB1D07" w:rsidRPr="00CB1D07" w:rsidRDefault="00CB1D07" w:rsidP="00CB1D07">
            <w:pPr>
              <w:pStyle w:val="CDITable-RowCentre"/>
            </w:pPr>
            <w:r w:rsidRPr="00CB1D07">
              <w:t>252</w:t>
            </w:r>
          </w:p>
        </w:tc>
        <w:tc>
          <w:tcPr>
            <w:tcW w:w="737"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2A8CEE52" w14:textId="77777777" w:rsidR="00CB1D07" w:rsidRPr="00CB1D07" w:rsidRDefault="00CB1D07" w:rsidP="00CB1D07">
            <w:pPr>
              <w:pStyle w:val="CDITable-RowCentre"/>
            </w:pPr>
            <w:r w:rsidRPr="00CB1D07">
              <w:t>261</w:t>
            </w:r>
          </w:p>
        </w:tc>
        <w:tc>
          <w:tcPr>
            <w:tcW w:w="737"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7B9F7DAD" w14:textId="77777777" w:rsidR="00CB1D07" w:rsidRPr="00CB1D07" w:rsidRDefault="00CB1D07" w:rsidP="00CB1D07">
            <w:pPr>
              <w:pStyle w:val="CDITable-RowCentre"/>
            </w:pPr>
            <w:r w:rsidRPr="00CB1D07">
              <w:t>0.5</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0A55766" w14:textId="77777777" w:rsidR="00CB1D07" w:rsidRPr="00CB1D07" w:rsidRDefault="00CB1D07" w:rsidP="00CB1D07">
            <w:pPr>
              <w:pStyle w:val="CDITable-RowCentre"/>
            </w:pPr>
            <w:r w:rsidRPr="00CB1D07">
              <w:t>0.5</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216C024" w14:textId="77777777" w:rsidR="00CB1D07" w:rsidRPr="00CB1D07" w:rsidRDefault="00CB1D07" w:rsidP="00CB1D07">
            <w:pPr>
              <w:pStyle w:val="CDITable-RowCentre"/>
            </w:pPr>
            <w:r w:rsidRPr="00CB1D07">
              <w:t>0.5</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DD607FC" w14:textId="77777777" w:rsidR="00CB1D07" w:rsidRPr="00CB1D07" w:rsidRDefault="00CB1D07" w:rsidP="00CB1D07">
            <w:pPr>
              <w:pStyle w:val="CDITable-RowCentre"/>
            </w:pPr>
            <w:r w:rsidRPr="00CB1D07">
              <w:t>0.7</w:t>
            </w:r>
          </w:p>
        </w:tc>
        <w:tc>
          <w:tcPr>
            <w:tcW w:w="73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6FD1F65" w14:textId="77777777" w:rsidR="00CB1D07" w:rsidRPr="00CB1D07" w:rsidRDefault="00CB1D07" w:rsidP="00CB1D07">
            <w:pPr>
              <w:pStyle w:val="CDITable-RowCentre"/>
            </w:pPr>
            <w:r w:rsidRPr="00CB1D07">
              <w:t>1.2</w:t>
            </w:r>
          </w:p>
        </w:tc>
        <w:tc>
          <w:tcPr>
            <w:tcW w:w="737"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57AA3F28" w14:textId="77777777" w:rsidR="00CB1D07" w:rsidRPr="00CB1D07" w:rsidRDefault="00CB1D07" w:rsidP="00CB1D07">
            <w:pPr>
              <w:pStyle w:val="CDITable-RowCentre"/>
            </w:pPr>
            <w:r w:rsidRPr="00CB1D07">
              <w:t>1.3</w:t>
            </w:r>
          </w:p>
        </w:tc>
        <w:tc>
          <w:tcPr>
            <w:tcW w:w="737" w:type="dxa"/>
            <w:vMerge/>
            <w:tcBorders>
              <w:left w:val="single" w:sz="6" w:space="0" w:color="033636" w:themeColor="text2"/>
              <w:bottom w:val="single" w:sz="8" w:space="0" w:color="033636" w:themeColor="text2"/>
            </w:tcBorders>
          </w:tcPr>
          <w:p w14:paraId="3945B6BA" w14:textId="77777777" w:rsidR="00CB1D07" w:rsidRPr="00CB1D07" w:rsidRDefault="00CB1D07" w:rsidP="00CB1D07"/>
        </w:tc>
        <w:tc>
          <w:tcPr>
            <w:tcW w:w="879" w:type="dxa"/>
            <w:vMerge/>
            <w:tcBorders>
              <w:bottom w:val="single" w:sz="8" w:space="0" w:color="033636" w:themeColor="text2"/>
            </w:tcBorders>
          </w:tcPr>
          <w:p w14:paraId="427FC534" w14:textId="77777777" w:rsidR="00CB1D07" w:rsidRPr="00CB1D07" w:rsidRDefault="00CB1D07" w:rsidP="00CB1D07"/>
        </w:tc>
        <w:tc>
          <w:tcPr>
            <w:tcW w:w="878" w:type="dxa"/>
            <w:vMerge/>
            <w:tcBorders>
              <w:bottom w:val="single" w:sz="8" w:space="0" w:color="033636" w:themeColor="text2"/>
            </w:tcBorders>
          </w:tcPr>
          <w:p w14:paraId="3ABD283E" w14:textId="77777777" w:rsidR="00CB1D07" w:rsidRPr="00CB1D07" w:rsidRDefault="00CB1D07" w:rsidP="00CB1D07"/>
        </w:tc>
      </w:tr>
    </w:tbl>
    <w:p w14:paraId="119D2578" w14:textId="77777777" w:rsidR="00CB1D07" w:rsidRDefault="00CB1D07" w:rsidP="00CB1D07">
      <w:pPr>
        <w:pStyle w:val="CDITable-Firstfootnote"/>
        <w:divId w:val="935526654"/>
      </w:pPr>
      <w:r>
        <w:t>a</w:t>
      </w:r>
      <w:r>
        <w:tab/>
        <w:t>IRR: incidence rate ratio.</w:t>
      </w:r>
    </w:p>
    <w:p w14:paraId="54B33A5E" w14:textId="77777777" w:rsidR="00CB1D07" w:rsidRDefault="00CB1D07" w:rsidP="00CB1D07">
      <w:pPr>
        <w:pStyle w:val="CDITable-Footnote"/>
        <w:divId w:val="935526654"/>
      </w:pPr>
      <w:r>
        <w:t>b</w:t>
      </w:r>
      <w:r>
        <w:tab/>
        <w:t>95% CI: 95% confidence interval.</w:t>
      </w:r>
    </w:p>
    <w:p w14:paraId="11E4AE47" w14:textId="77777777" w:rsidR="00817197" w:rsidRDefault="00CB1D07" w:rsidP="00CB1D07">
      <w:pPr>
        <w:pStyle w:val="CDITable-Footnote"/>
        <w:divId w:val="935526654"/>
        <w:sectPr w:rsidR="00817197" w:rsidSect="00CB1D07">
          <w:footnotePr>
            <w:numFmt w:val="lowerRoman"/>
          </w:footnotePr>
          <w:pgSz w:w="16840" w:h="11907" w:orient="landscape" w:code="9"/>
          <w:pgMar w:top="1134" w:right="1134" w:bottom="1134" w:left="1304" w:header="709" w:footer="567" w:gutter="0"/>
          <w:cols w:space="708"/>
          <w:docGrid w:linePitch="360"/>
          <w15:footnoteColumns w:val="1"/>
        </w:sectPr>
      </w:pPr>
      <w:r>
        <w:t>c</w:t>
      </w:r>
      <w:r>
        <w:tab/>
        <w:t>The differences in hospitalisation rates between Indigenous and non-Indigenous people for the whole period were considered.</w:t>
      </w:r>
    </w:p>
    <w:p w14:paraId="27A605F5" w14:textId="7B2D3F5C" w:rsidR="00CB1D07" w:rsidRDefault="00817197" w:rsidP="00817197">
      <w:pPr>
        <w:pStyle w:val="Heading2-nospacebefore"/>
        <w:divId w:val="935526654"/>
      </w:pPr>
      <w:r>
        <w:lastRenderedPageBreak/>
        <w:t>Hospitalisation outcomes</w:t>
      </w:r>
    </w:p>
    <w:p w14:paraId="73BC3881" w14:textId="77777777" w:rsidR="00817197" w:rsidRPr="00817197" w:rsidRDefault="00817197" w:rsidP="00817197">
      <w:pPr>
        <w:divId w:val="935526654"/>
        <w:rPr>
          <w:lang w:val="en-GB"/>
        </w:rPr>
      </w:pPr>
      <w:r w:rsidRPr="00817197">
        <w:rPr>
          <w:lang w:val="en-GB"/>
        </w:rPr>
        <w:t>Across the whole study period, the median and inter-quartile range (IQR) of length of hospital stay was two days (interquartile range [IQR]: 1–4 days). A total of 20.6% of patients (n = 264/1,279) required ventilation, 2.2% (n = 28/1,279) were admitted to the intensive care unit (ICU), and 0.9% of cases (n = 12/1,279) resulted in death. Of the twelve deaths, 91.7% (n = 11/12) occurred in individuals aged 60 years or older.</w:t>
      </w:r>
    </w:p>
    <w:p w14:paraId="16D0A25B" w14:textId="77777777" w:rsidR="00817197" w:rsidRPr="00817197" w:rsidRDefault="00817197" w:rsidP="00817197">
      <w:pPr>
        <w:divId w:val="935526654"/>
        <w:rPr>
          <w:lang w:val="en-GB"/>
        </w:rPr>
      </w:pPr>
      <w:r w:rsidRPr="00817197">
        <w:rPr>
          <w:lang w:val="en-GB"/>
        </w:rPr>
        <w:t xml:space="preserve">The median length of stay was comparable between the retrospective (2018–2021) and prospective (2022–2023) study periods: two days [IQR: 1–4 days] days versus two days [IQR: 1–4 days]; </w:t>
      </w:r>
      <w:r w:rsidRPr="00817197">
        <w:rPr>
          <w:i/>
          <w:iCs/>
          <w:lang w:val="en-GB"/>
        </w:rPr>
        <w:t>p</w:t>
      </w:r>
      <w:r w:rsidRPr="00817197">
        <w:rPr>
          <w:lang w:val="en-GB"/>
        </w:rPr>
        <w:t xml:space="preserve"> = 0.054). While the proportion of patients admitted to the ICU remained comparable across the two study periods; the proportions of patients who were ventilated (19.6%; n = 110/559) versus 21.4%; n = 154/720; </w:t>
      </w:r>
      <w:r w:rsidRPr="00817197">
        <w:rPr>
          <w:i/>
          <w:iCs/>
          <w:lang w:val="en-GB"/>
        </w:rPr>
        <w:t xml:space="preserve">p </w:t>
      </w:r>
      <w:r w:rsidRPr="00817197">
        <w:rPr>
          <w:lang w:val="en-GB"/>
        </w:rPr>
        <w:t xml:space="preserve">=0.496), and of those who died (0.4%; n = 2/559 versus 1.2%; n = 10/720; </w:t>
      </w:r>
      <w:r w:rsidRPr="00817197">
        <w:rPr>
          <w:i/>
          <w:iCs/>
          <w:lang w:val="en-GB"/>
        </w:rPr>
        <w:t>p</w:t>
      </w:r>
      <w:r w:rsidRPr="00817197">
        <w:rPr>
          <w:lang w:val="en-GB"/>
        </w:rPr>
        <w:t xml:space="preserve"> = 0.078) increased slightly over time, although without apparent statistical significance. </w:t>
      </w:r>
    </w:p>
    <w:p w14:paraId="5CF12957" w14:textId="77777777" w:rsidR="00817197" w:rsidRPr="00817197" w:rsidRDefault="00817197" w:rsidP="00817197">
      <w:pPr>
        <w:divId w:val="935526654"/>
        <w:rPr>
          <w:lang w:val="en-GB"/>
        </w:rPr>
      </w:pPr>
      <w:r w:rsidRPr="00817197">
        <w:rPr>
          <w:lang w:val="en-GB"/>
        </w:rPr>
        <w:t xml:space="preserve">By comparison with the retrospective period, the length of stay during the prospective period was non-significantly longer for older adults (4 days [IQR: 2–7 days] versus 5 days [IQR: 3–10 days]; </w:t>
      </w:r>
      <w:r w:rsidRPr="00817197">
        <w:rPr>
          <w:i/>
          <w:iCs/>
          <w:lang w:val="en-GB"/>
        </w:rPr>
        <w:t xml:space="preserve">p </w:t>
      </w:r>
      <w:r w:rsidRPr="00817197">
        <w:rPr>
          <w:lang w:val="en-GB"/>
        </w:rPr>
        <w:t xml:space="preserve">= 0.136), while it was significantly shorter in children aged 1–5 years (2 days [IQR: 1–3 days] versus 1 day [IQR: 1–12 days]; </w:t>
      </w:r>
      <w:r w:rsidRPr="00817197">
        <w:rPr>
          <w:i/>
          <w:iCs/>
          <w:lang w:val="en-GB"/>
        </w:rPr>
        <w:t>p</w:t>
      </w:r>
      <w:r w:rsidRPr="00817197">
        <w:rPr>
          <w:lang w:val="en-GB"/>
        </w:rPr>
        <w:t xml:space="preserve"> &lt; 0.001). Ventilation was most frequently required in individuals aged 20–59 years (n = 12/40; 30.0%), while ICU admissions were highest in children aged 6–19 years (n = 3/14; 21.4%). Most deaths occurred in patients aged 60 years or older (n = 9/136; 6.6%), during the prospective period.</w:t>
      </w:r>
    </w:p>
    <w:p w14:paraId="2ACBD5DC" w14:textId="30215C6D" w:rsidR="00817197" w:rsidRPr="00817197" w:rsidRDefault="00817197" w:rsidP="00817197">
      <w:pPr>
        <w:divId w:val="935526654"/>
        <w:rPr>
          <w:lang w:val="en-GB"/>
        </w:rPr>
      </w:pPr>
      <w:r w:rsidRPr="00817197">
        <w:rPr>
          <w:lang w:val="en-GB"/>
        </w:rPr>
        <w:t xml:space="preserve">Regarding sex, the median length of stay was similar for males (2 days [IQR: 1–4 days] versus 2 days [IQR: 1–4 days]; </w:t>
      </w:r>
      <w:r w:rsidRPr="00817197">
        <w:rPr>
          <w:i/>
          <w:iCs/>
          <w:lang w:val="en-GB"/>
        </w:rPr>
        <w:t>p</w:t>
      </w:r>
      <w:r w:rsidRPr="00817197">
        <w:rPr>
          <w:lang w:val="en-GB"/>
        </w:rPr>
        <w:t xml:space="preserve"> = 0.099) and females (2 days [IQR: 1–4 days] versus 2 days [IQR: 1–4 days]; </w:t>
      </w:r>
      <w:r w:rsidRPr="00817197">
        <w:rPr>
          <w:i/>
          <w:iCs/>
          <w:lang w:val="en-GB"/>
        </w:rPr>
        <w:t xml:space="preserve">p </w:t>
      </w:r>
      <w:r w:rsidRPr="00817197">
        <w:rPr>
          <w:lang w:val="en-GB"/>
        </w:rPr>
        <w:t>= 0.376) in both surveillance periods. The proportion of females who required ventilation decreased over time (24.1%; n</w:t>
      </w:r>
      <w:r>
        <w:rPr>
          <w:lang w:val="en-GB"/>
        </w:rPr>
        <w:t> </w:t>
      </w:r>
      <w:r w:rsidRPr="00817197">
        <w:rPr>
          <w:lang w:val="en-GB"/>
        </w:rPr>
        <w:t>=</w:t>
      </w:r>
      <w:r>
        <w:rPr>
          <w:lang w:val="en-GB"/>
        </w:rPr>
        <w:t> </w:t>
      </w:r>
      <w:r w:rsidRPr="00817197">
        <w:rPr>
          <w:lang w:val="en-GB"/>
        </w:rPr>
        <w:t xml:space="preserve">63/261 versus 21.1%; n = 71/337; </w:t>
      </w:r>
      <w:r w:rsidRPr="00817197">
        <w:rPr>
          <w:i/>
          <w:iCs/>
          <w:lang w:val="en-GB"/>
        </w:rPr>
        <w:t>p</w:t>
      </w:r>
      <w:r w:rsidRPr="00817197">
        <w:rPr>
          <w:lang w:val="en-GB"/>
        </w:rPr>
        <w:t xml:space="preserve"> = 0.427) while this proportion increased for males (15.8%; n</w:t>
      </w:r>
      <w:r>
        <w:rPr>
          <w:lang w:val="en-GB"/>
        </w:rPr>
        <w:t> </w:t>
      </w:r>
      <w:r w:rsidRPr="00817197">
        <w:rPr>
          <w:lang w:val="en-GB"/>
        </w:rPr>
        <w:t>=</w:t>
      </w:r>
      <w:r>
        <w:rPr>
          <w:lang w:val="en-GB"/>
        </w:rPr>
        <w:t> </w:t>
      </w:r>
      <w:r w:rsidRPr="00817197">
        <w:rPr>
          <w:lang w:val="en-GB"/>
        </w:rPr>
        <w:t xml:space="preserve">47/298 versus 21.7%; n = 83/383; </w:t>
      </w:r>
      <w:r w:rsidRPr="00817197">
        <w:rPr>
          <w:i/>
          <w:iCs/>
          <w:lang w:val="en-GB"/>
        </w:rPr>
        <w:t xml:space="preserve">p </w:t>
      </w:r>
      <w:r w:rsidRPr="00817197">
        <w:rPr>
          <w:lang w:val="en-GB"/>
        </w:rPr>
        <w:t xml:space="preserve">= 0.065). However, during the prospective period, females exhibited a higher proportion than males of both ICU admissions (2.7%; n = 9/337 versus 1.6%; n = 6/377; </w:t>
      </w:r>
      <w:r w:rsidRPr="00817197">
        <w:rPr>
          <w:i/>
          <w:iCs/>
          <w:lang w:val="en-GB"/>
        </w:rPr>
        <w:t>p</w:t>
      </w:r>
      <w:r w:rsidRPr="00817197">
        <w:rPr>
          <w:lang w:val="en-GB"/>
        </w:rPr>
        <w:t xml:space="preserve"> = 0.439), and deaths (2.1%; n = 7/337 versus 0.8%; n = 3/383; </w:t>
      </w:r>
      <w:r w:rsidRPr="00817197">
        <w:rPr>
          <w:i/>
          <w:iCs/>
          <w:lang w:val="en-GB"/>
        </w:rPr>
        <w:t>p</w:t>
      </w:r>
      <w:r w:rsidRPr="00817197">
        <w:rPr>
          <w:lang w:val="en-GB"/>
        </w:rPr>
        <w:t xml:space="preserve"> = 0.387).</w:t>
      </w:r>
    </w:p>
    <w:p w14:paraId="68D817EF" w14:textId="359194F4" w:rsidR="00817197" w:rsidRPr="00817197" w:rsidRDefault="00817197" w:rsidP="00817197">
      <w:pPr>
        <w:divId w:val="935526654"/>
        <w:rPr>
          <w:lang w:val="en-GB"/>
        </w:rPr>
      </w:pPr>
      <w:r w:rsidRPr="00817197">
        <w:rPr>
          <w:lang w:val="en-GB"/>
        </w:rPr>
        <w:t xml:space="preserve">Across both the retrospective and prospective study periods, Indigenous individuals with RSV had a similar median length of stay (2 days [IQR: 1–3 days] versus 2 days [IQR: 1–3 days]; </w:t>
      </w:r>
      <w:r w:rsidRPr="00817197">
        <w:rPr>
          <w:i/>
          <w:iCs/>
          <w:lang w:val="en-GB"/>
        </w:rPr>
        <w:t>p</w:t>
      </w:r>
      <w:r w:rsidRPr="00817197">
        <w:rPr>
          <w:lang w:val="en-GB"/>
        </w:rPr>
        <w:t xml:space="preserve"> = 0.493) compared to non-Indigenous individuals (2 days [IQR: 1–4 days] versus 2 days [IQR: 1–4 days]; </w:t>
      </w:r>
      <w:r w:rsidRPr="00817197">
        <w:rPr>
          <w:i/>
          <w:iCs/>
          <w:lang w:val="en-GB"/>
        </w:rPr>
        <w:t>p</w:t>
      </w:r>
      <w:r w:rsidRPr="00817197">
        <w:rPr>
          <w:lang w:val="en-GB"/>
        </w:rPr>
        <w:t xml:space="preserve"> = 0.088). Proportions of Indigenous individuals with RSV increased from the retrospective to the prospective study period for those requiring ventilation (from 16.9% [n = 21/124] to 26.4% [n = 38/144]; </w:t>
      </w:r>
      <w:r w:rsidRPr="00817197">
        <w:rPr>
          <w:i/>
          <w:iCs/>
          <w:lang w:val="en-GB"/>
        </w:rPr>
        <w:t xml:space="preserve">p </w:t>
      </w:r>
      <w:r w:rsidRPr="00817197">
        <w:rPr>
          <w:lang w:val="en-GB"/>
        </w:rPr>
        <w:t xml:space="preserve">= 0.128), ICU admissions (from 1.6% [n = 2/124] to 2.1% [n = 3/144]; </w:t>
      </w:r>
      <w:r w:rsidRPr="00817197">
        <w:rPr>
          <w:i/>
          <w:iCs/>
          <w:lang w:val="en-GB"/>
        </w:rPr>
        <w:t>p</w:t>
      </w:r>
      <w:r w:rsidRPr="00817197">
        <w:rPr>
          <w:lang w:val="en-GB"/>
        </w:rPr>
        <w:t xml:space="preserve"> = 1.000) and deaths (from 0.0% [n = 0/124] to 1.4% [n = 2/144]; </w:t>
      </w:r>
      <w:r w:rsidRPr="00817197">
        <w:rPr>
          <w:i/>
          <w:iCs/>
          <w:lang w:val="en-GB"/>
        </w:rPr>
        <w:t>p</w:t>
      </w:r>
      <w:r>
        <w:rPr>
          <w:i/>
          <w:iCs/>
          <w:lang w:val="en-GB"/>
        </w:rPr>
        <w:t> </w:t>
      </w:r>
      <w:r w:rsidRPr="00817197">
        <w:rPr>
          <w:lang w:val="en-GB"/>
        </w:rPr>
        <w:t>=</w:t>
      </w:r>
      <w:r>
        <w:rPr>
          <w:lang w:val="en-GB"/>
        </w:rPr>
        <w:t> </w:t>
      </w:r>
      <w:r w:rsidRPr="00817197">
        <w:rPr>
          <w:lang w:val="en-GB"/>
        </w:rPr>
        <w:t>0.545).</w:t>
      </w:r>
    </w:p>
    <w:p w14:paraId="355EDBB4" w14:textId="2703260B" w:rsidR="00817197" w:rsidRDefault="00817197" w:rsidP="00817197">
      <w:pPr>
        <w:pStyle w:val="Heading2"/>
        <w:divId w:val="935526654"/>
        <w:rPr>
          <w:lang w:val="en-GB"/>
        </w:rPr>
      </w:pPr>
      <w:r w:rsidRPr="00817197">
        <w:rPr>
          <w:lang w:val="en-GB"/>
        </w:rPr>
        <w:t>RSV testing and positivity trends</w:t>
      </w:r>
    </w:p>
    <w:p w14:paraId="210E35DE" w14:textId="77777777" w:rsidR="00817197" w:rsidRPr="00817197" w:rsidRDefault="00817197" w:rsidP="00817197">
      <w:pPr>
        <w:divId w:val="935526654"/>
        <w:rPr>
          <w:lang w:val="en-GB"/>
        </w:rPr>
      </w:pPr>
      <w:r w:rsidRPr="00817197">
        <w:rPr>
          <w:lang w:val="en-GB"/>
        </w:rPr>
        <w:t>During the study period, Pathology Queensland conducted 32,946 RSV tests in Central Queensland, of which 1,872 were positive, resulting in an overall positivity rate of 5.7%. RSV testing increased by a significant 744.4% between 2023 and 2018 (14,219 tests in 2023, when RSV testing was actively advocated, compared to 1,684 tests in 2018). Similarly, RSV-positive cases surged by 243.5% from 186 cases in 2018 to 639 cases in 2023. Despite these increases, the positivity rate declined from 11.0% (n = 186/1,684) in 2018 to 4.5% (n = 639/14,219) in 2023.</w:t>
      </w:r>
    </w:p>
    <w:p w14:paraId="39354D21" w14:textId="77777777" w:rsidR="00817197" w:rsidRPr="00817197" w:rsidRDefault="00817197" w:rsidP="00817197">
      <w:pPr>
        <w:divId w:val="935526654"/>
        <w:rPr>
          <w:lang w:val="en-GB"/>
        </w:rPr>
      </w:pPr>
      <w:r w:rsidRPr="00817197">
        <w:rPr>
          <w:lang w:val="en-GB"/>
        </w:rPr>
        <w:lastRenderedPageBreak/>
        <w:t>Adults aged 20–59 years accounted for the largest proportion of tests (30.2%; n = 9,960/32,946), while infants under 12 months represented the smallest proportion (9.8%; n = 3,218/32,946). However, infants under 12 months had the highest positivity rate (16.4%; n = 528/3,216), whereas individuals aged 60 years and older had the second-lowest positivity rate (2.6%; n = 236/8,950), just above the rate for those aged 20–59 years (1.9%; n = 185/9,960) (Table 3).</w:t>
      </w:r>
    </w:p>
    <w:p w14:paraId="2B621C1A" w14:textId="2380D9B3" w:rsidR="00CB1D07" w:rsidRDefault="00817197" w:rsidP="00CB1D07">
      <w:pPr>
        <w:pStyle w:val="CDITable-Title"/>
        <w:divId w:val="935526654"/>
      </w:pPr>
      <w:r w:rsidRPr="00817197">
        <w:t>Table 3: Number of tests for RSV, number of RSV positive cases and RSV positivity rates by age group between 2018 and 2023 in Central Queensland</w:t>
      </w:r>
    </w:p>
    <w:tbl>
      <w:tblPr>
        <w:tblW w:w="0" w:type="auto"/>
        <w:tblLayout w:type="fixed"/>
        <w:tblCellMar>
          <w:left w:w="0" w:type="dxa"/>
          <w:right w:w="0" w:type="dxa"/>
        </w:tblCellMar>
        <w:tblLook w:val="0000" w:firstRow="0" w:lastRow="0" w:firstColumn="0" w:lastColumn="0" w:noHBand="0" w:noVBand="0"/>
        <w:tblCaption w:val="Table 3: Number of tests for RSV, number of RSV positive cases and RSV positivity rates by age group between 2018 and 2023 in Central Queensland"/>
        <w:tblDescription w:val="Table 3 shows the number of RSV tests conducted, the number of RSV-positive cases, and the RSV positivity rates between 2018 and 2023, broken down by age groups in Central Queensland."/>
      </w:tblPr>
      <w:tblGrid>
        <w:gridCol w:w="1417"/>
        <w:gridCol w:w="2211"/>
        <w:gridCol w:w="1002"/>
        <w:gridCol w:w="1001"/>
        <w:gridCol w:w="1002"/>
        <w:gridCol w:w="1002"/>
        <w:gridCol w:w="1001"/>
        <w:gridCol w:w="1002"/>
      </w:tblGrid>
      <w:tr w:rsidR="00817197" w:rsidRPr="00817197" w14:paraId="73D97EBD" w14:textId="77777777" w:rsidTr="00817197">
        <w:trPr>
          <w:divId w:val="935526654"/>
          <w:trHeight w:val="20"/>
          <w:tblHeader/>
        </w:trPr>
        <w:tc>
          <w:tcPr>
            <w:tcW w:w="1417" w:type="dxa"/>
            <w:shd w:val="clear" w:color="auto" w:fill="033636" w:themeFill="text2"/>
            <w:tcMar>
              <w:top w:w="113" w:type="dxa"/>
              <w:left w:w="113" w:type="dxa"/>
              <w:bottom w:w="113" w:type="dxa"/>
              <w:right w:w="113" w:type="dxa"/>
            </w:tcMar>
            <w:vAlign w:val="bottom"/>
          </w:tcPr>
          <w:p w14:paraId="647DAF06" w14:textId="77777777" w:rsidR="00817197" w:rsidRPr="00817197" w:rsidRDefault="00817197" w:rsidP="00817197">
            <w:pPr>
              <w:pStyle w:val="CDITable-HeaderRowLeft"/>
            </w:pPr>
            <w:r w:rsidRPr="00817197">
              <w:t>Age group (years)</w:t>
            </w:r>
          </w:p>
        </w:tc>
        <w:tc>
          <w:tcPr>
            <w:tcW w:w="2211" w:type="dxa"/>
            <w:shd w:val="clear" w:color="auto" w:fill="033636" w:themeFill="text2"/>
            <w:tcMar>
              <w:top w:w="113" w:type="dxa"/>
              <w:left w:w="113" w:type="dxa"/>
              <w:bottom w:w="113" w:type="dxa"/>
              <w:right w:w="113" w:type="dxa"/>
            </w:tcMar>
            <w:vAlign w:val="bottom"/>
          </w:tcPr>
          <w:p w14:paraId="44B060E1" w14:textId="77777777" w:rsidR="00817197" w:rsidRPr="00817197" w:rsidRDefault="00817197" w:rsidP="00817197">
            <w:pPr>
              <w:pStyle w:val="CDITable-HeaderRowLeft"/>
            </w:pPr>
            <w:r w:rsidRPr="00817197">
              <w:t>Metric</w:t>
            </w:r>
          </w:p>
        </w:tc>
        <w:tc>
          <w:tcPr>
            <w:tcW w:w="1002" w:type="dxa"/>
            <w:shd w:val="clear" w:color="auto" w:fill="033636" w:themeFill="text2"/>
            <w:tcMar>
              <w:top w:w="113" w:type="dxa"/>
              <w:left w:w="113" w:type="dxa"/>
              <w:bottom w:w="113" w:type="dxa"/>
              <w:right w:w="113" w:type="dxa"/>
            </w:tcMar>
            <w:vAlign w:val="bottom"/>
          </w:tcPr>
          <w:p w14:paraId="3D818090" w14:textId="77777777" w:rsidR="00817197" w:rsidRPr="00817197" w:rsidRDefault="00817197" w:rsidP="00817197">
            <w:pPr>
              <w:pStyle w:val="CDITable-HeaderRowCentre"/>
            </w:pPr>
            <w:r w:rsidRPr="00817197">
              <w:t>2018</w:t>
            </w:r>
          </w:p>
        </w:tc>
        <w:tc>
          <w:tcPr>
            <w:tcW w:w="1001" w:type="dxa"/>
            <w:shd w:val="clear" w:color="auto" w:fill="033636" w:themeFill="text2"/>
            <w:tcMar>
              <w:top w:w="113" w:type="dxa"/>
              <w:left w:w="113" w:type="dxa"/>
              <w:bottom w:w="113" w:type="dxa"/>
              <w:right w:w="113" w:type="dxa"/>
            </w:tcMar>
            <w:vAlign w:val="bottom"/>
          </w:tcPr>
          <w:p w14:paraId="2C2DF293" w14:textId="77777777" w:rsidR="00817197" w:rsidRPr="00817197" w:rsidRDefault="00817197" w:rsidP="00817197">
            <w:pPr>
              <w:pStyle w:val="CDITable-HeaderRowCentre"/>
            </w:pPr>
            <w:r w:rsidRPr="00817197">
              <w:t>2019</w:t>
            </w:r>
          </w:p>
        </w:tc>
        <w:tc>
          <w:tcPr>
            <w:tcW w:w="1002" w:type="dxa"/>
            <w:shd w:val="clear" w:color="auto" w:fill="033636" w:themeFill="text2"/>
            <w:tcMar>
              <w:top w:w="113" w:type="dxa"/>
              <w:left w:w="113" w:type="dxa"/>
              <w:bottom w:w="113" w:type="dxa"/>
              <w:right w:w="113" w:type="dxa"/>
            </w:tcMar>
            <w:vAlign w:val="bottom"/>
          </w:tcPr>
          <w:p w14:paraId="79BFB835" w14:textId="77777777" w:rsidR="00817197" w:rsidRPr="00817197" w:rsidRDefault="00817197" w:rsidP="00817197">
            <w:pPr>
              <w:pStyle w:val="CDITable-HeaderRowCentre"/>
            </w:pPr>
            <w:r w:rsidRPr="00817197">
              <w:t>2020</w:t>
            </w:r>
          </w:p>
        </w:tc>
        <w:tc>
          <w:tcPr>
            <w:tcW w:w="1002" w:type="dxa"/>
            <w:shd w:val="clear" w:color="auto" w:fill="033636" w:themeFill="text2"/>
            <w:tcMar>
              <w:top w:w="113" w:type="dxa"/>
              <w:left w:w="113" w:type="dxa"/>
              <w:bottom w:w="113" w:type="dxa"/>
              <w:right w:w="113" w:type="dxa"/>
            </w:tcMar>
            <w:vAlign w:val="bottom"/>
          </w:tcPr>
          <w:p w14:paraId="4B0ABC0B" w14:textId="77777777" w:rsidR="00817197" w:rsidRPr="00817197" w:rsidRDefault="00817197" w:rsidP="00817197">
            <w:pPr>
              <w:pStyle w:val="CDITable-HeaderRowCentre"/>
            </w:pPr>
            <w:r w:rsidRPr="00817197">
              <w:t>2021</w:t>
            </w:r>
          </w:p>
        </w:tc>
        <w:tc>
          <w:tcPr>
            <w:tcW w:w="1001" w:type="dxa"/>
            <w:shd w:val="clear" w:color="auto" w:fill="033636" w:themeFill="text2"/>
            <w:tcMar>
              <w:top w:w="113" w:type="dxa"/>
              <w:left w:w="113" w:type="dxa"/>
              <w:bottom w:w="113" w:type="dxa"/>
              <w:right w:w="113" w:type="dxa"/>
            </w:tcMar>
            <w:vAlign w:val="bottom"/>
          </w:tcPr>
          <w:p w14:paraId="75DCD652" w14:textId="77777777" w:rsidR="00817197" w:rsidRPr="00817197" w:rsidRDefault="00817197" w:rsidP="00817197">
            <w:pPr>
              <w:pStyle w:val="CDITable-HeaderRowCentre"/>
            </w:pPr>
            <w:r w:rsidRPr="00817197">
              <w:t>2022</w:t>
            </w:r>
          </w:p>
        </w:tc>
        <w:tc>
          <w:tcPr>
            <w:tcW w:w="1002" w:type="dxa"/>
            <w:shd w:val="clear" w:color="auto" w:fill="033636" w:themeFill="text2"/>
            <w:tcMar>
              <w:top w:w="113" w:type="dxa"/>
              <w:left w:w="113" w:type="dxa"/>
              <w:bottom w:w="113" w:type="dxa"/>
              <w:right w:w="113" w:type="dxa"/>
            </w:tcMar>
            <w:vAlign w:val="bottom"/>
          </w:tcPr>
          <w:p w14:paraId="3417104F" w14:textId="77777777" w:rsidR="00817197" w:rsidRPr="00817197" w:rsidRDefault="00817197" w:rsidP="00817197">
            <w:pPr>
              <w:pStyle w:val="CDITable-HeaderRowCentre"/>
            </w:pPr>
            <w:r w:rsidRPr="00817197">
              <w:t>2023</w:t>
            </w:r>
          </w:p>
        </w:tc>
      </w:tr>
      <w:tr w:rsidR="00817197" w:rsidRPr="00817197" w14:paraId="3FADD685" w14:textId="77777777" w:rsidTr="00817197">
        <w:trPr>
          <w:divId w:val="935526654"/>
          <w:trHeight w:val="20"/>
        </w:trPr>
        <w:tc>
          <w:tcPr>
            <w:tcW w:w="1417" w:type="dxa"/>
            <w:vMerge w:val="restart"/>
            <w:tcBorders>
              <w:bottom w:val="single" w:sz="8" w:space="0" w:color="033636" w:themeColor="text2"/>
            </w:tcBorders>
            <w:tcMar>
              <w:top w:w="113" w:type="dxa"/>
              <w:left w:w="113" w:type="dxa"/>
              <w:bottom w:w="113" w:type="dxa"/>
              <w:right w:w="113" w:type="dxa"/>
            </w:tcMar>
            <w:vAlign w:val="center"/>
          </w:tcPr>
          <w:p w14:paraId="79E002E8" w14:textId="77777777" w:rsidR="00817197" w:rsidRPr="00817197" w:rsidRDefault="00817197" w:rsidP="00817197">
            <w:pPr>
              <w:pStyle w:val="CDITable-RowLeft"/>
            </w:pPr>
            <w:r w:rsidRPr="00817197">
              <w:t>&lt; 1</w:t>
            </w:r>
          </w:p>
        </w:tc>
        <w:tc>
          <w:tcPr>
            <w:tcW w:w="2211" w:type="dxa"/>
            <w:tcBorders>
              <w:bottom w:val="single" w:sz="6" w:space="0" w:color="033636" w:themeColor="text2"/>
            </w:tcBorders>
            <w:tcMar>
              <w:top w:w="113" w:type="dxa"/>
              <w:left w:w="113" w:type="dxa"/>
              <w:bottom w:w="113" w:type="dxa"/>
              <w:right w:w="113" w:type="dxa"/>
            </w:tcMar>
            <w:vAlign w:val="center"/>
          </w:tcPr>
          <w:p w14:paraId="21DC6E00" w14:textId="77777777" w:rsidR="00817197" w:rsidRPr="00817197" w:rsidRDefault="00817197" w:rsidP="00817197">
            <w:pPr>
              <w:pStyle w:val="CDITable-RowLeft"/>
            </w:pPr>
            <w:r w:rsidRPr="00817197">
              <w:t>Test counts (n)</w:t>
            </w:r>
          </w:p>
        </w:tc>
        <w:tc>
          <w:tcPr>
            <w:tcW w:w="1002" w:type="dxa"/>
            <w:tcBorders>
              <w:bottom w:val="single" w:sz="6" w:space="0" w:color="033636" w:themeColor="text2"/>
            </w:tcBorders>
            <w:tcMar>
              <w:top w:w="113" w:type="dxa"/>
              <w:left w:w="113" w:type="dxa"/>
              <w:bottom w:w="113" w:type="dxa"/>
              <w:right w:w="113" w:type="dxa"/>
            </w:tcMar>
            <w:vAlign w:val="center"/>
          </w:tcPr>
          <w:p w14:paraId="2074C93F" w14:textId="77777777" w:rsidR="00817197" w:rsidRPr="00817197" w:rsidRDefault="00817197" w:rsidP="00817197">
            <w:pPr>
              <w:pStyle w:val="CDITable-RowCentre"/>
            </w:pPr>
            <w:r w:rsidRPr="00817197">
              <w:t>329</w:t>
            </w:r>
          </w:p>
        </w:tc>
        <w:tc>
          <w:tcPr>
            <w:tcW w:w="1001" w:type="dxa"/>
            <w:tcBorders>
              <w:bottom w:val="single" w:sz="6" w:space="0" w:color="033636" w:themeColor="text2"/>
            </w:tcBorders>
            <w:tcMar>
              <w:top w:w="113" w:type="dxa"/>
              <w:left w:w="113" w:type="dxa"/>
              <w:bottom w:w="113" w:type="dxa"/>
              <w:right w:w="113" w:type="dxa"/>
            </w:tcMar>
            <w:vAlign w:val="center"/>
          </w:tcPr>
          <w:p w14:paraId="3B594829" w14:textId="77777777" w:rsidR="00817197" w:rsidRPr="00817197" w:rsidRDefault="00817197" w:rsidP="00817197">
            <w:pPr>
              <w:pStyle w:val="CDITable-RowCentre"/>
            </w:pPr>
            <w:r w:rsidRPr="00817197">
              <w:t>439</w:t>
            </w:r>
          </w:p>
        </w:tc>
        <w:tc>
          <w:tcPr>
            <w:tcW w:w="1002" w:type="dxa"/>
            <w:tcBorders>
              <w:bottom w:val="single" w:sz="6" w:space="0" w:color="033636" w:themeColor="text2"/>
            </w:tcBorders>
            <w:tcMar>
              <w:top w:w="113" w:type="dxa"/>
              <w:left w:w="113" w:type="dxa"/>
              <w:bottom w:w="113" w:type="dxa"/>
              <w:right w:w="113" w:type="dxa"/>
            </w:tcMar>
            <w:vAlign w:val="center"/>
          </w:tcPr>
          <w:p w14:paraId="6B32114D" w14:textId="77777777" w:rsidR="00817197" w:rsidRPr="00817197" w:rsidRDefault="00817197" w:rsidP="00817197">
            <w:pPr>
              <w:pStyle w:val="CDITable-RowCentre"/>
            </w:pPr>
            <w:r w:rsidRPr="00817197">
              <w:t>242</w:t>
            </w:r>
          </w:p>
        </w:tc>
        <w:tc>
          <w:tcPr>
            <w:tcW w:w="1002" w:type="dxa"/>
            <w:tcBorders>
              <w:bottom w:val="single" w:sz="6" w:space="0" w:color="033636" w:themeColor="text2"/>
            </w:tcBorders>
            <w:tcMar>
              <w:top w:w="113" w:type="dxa"/>
              <w:left w:w="113" w:type="dxa"/>
              <w:bottom w:w="113" w:type="dxa"/>
              <w:right w:w="113" w:type="dxa"/>
            </w:tcMar>
            <w:vAlign w:val="center"/>
          </w:tcPr>
          <w:p w14:paraId="7ACEB0F4" w14:textId="77777777" w:rsidR="00817197" w:rsidRPr="00817197" w:rsidRDefault="00817197" w:rsidP="00817197">
            <w:pPr>
              <w:pStyle w:val="CDITable-RowCentre"/>
            </w:pPr>
            <w:r w:rsidRPr="00817197">
              <w:t>375</w:t>
            </w:r>
          </w:p>
        </w:tc>
        <w:tc>
          <w:tcPr>
            <w:tcW w:w="1001" w:type="dxa"/>
            <w:tcBorders>
              <w:bottom w:val="single" w:sz="6" w:space="0" w:color="033636" w:themeColor="text2"/>
            </w:tcBorders>
            <w:tcMar>
              <w:top w:w="113" w:type="dxa"/>
              <w:left w:w="113" w:type="dxa"/>
              <w:bottom w:w="113" w:type="dxa"/>
              <w:right w:w="113" w:type="dxa"/>
            </w:tcMar>
            <w:vAlign w:val="center"/>
          </w:tcPr>
          <w:p w14:paraId="666775C0" w14:textId="77777777" w:rsidR="00817197" w:rsidRPr="00817197" w:rsidRDefault="00817197" w:rsidP="00817197">
            <w:pPr>
              <w:pStyle w:val="CDITable-RowCentre"/>
            </w:pPr>
            <w:r w:rsidRPr="00817197">
              <w:t>773</w:t>
            </w:r>
          </w:p>
        </w:tc>
        <w:tc>
          <w:tcPr>
            <w:tcW w:w="1002" w:type="dxa"/>
            <w:tcBorders>
              <w:bottom w:val="single" w:sz="6" w:space="0" w:color="033636" w:themeColor="text2"/>
            </w:tcBorders>
            <w:tcMar>
              <w:top w:w="113" w:type="dxa"/>
              <w:left w:w="113" w:type="dxa"/>
              <w:bottom w:w="113" w:type="dxa"/>
              <w:right w:w="113" w:type="dxa"/>
            </w:tcMar>
            <w:vAlign w:val="center"/>
          </w:tcPr>
          <w:p w14:paraId="2A1D435B" w14:textId="77777777" w:rsidR="00817197" w:rsidRPr="00817197" w:rsidRDefault="00817197" w:rsidP="00817197">
            <w:pPr>
              <w:pStyle w:val="CDITable-RowCentre"/>
            </w:pPr>
            <w:r w:rsidRPr="00817197">
              <w:t>1,055</w:t>
            </w:r>
          </w:p>
        </w:tc>
      </w:tr>
      <w:tr w:rsidR="00817197" w:rsidRPr="00817197" w14:paraId="238AA0D3" w14:textId="77777777" w:rsidTr="00817197">
        <w:trPr>
          <w:divId w:val="935526654"/>
          <w:trHeight w:val="20"/>
        </w:trPr>
        <w:tc>
          <w:tcPr>
            <w:tcW w:w="1417" w:type="dxa"/>
            <w:vMerge/>
            <w:tcBorders>
              <w:bottom w:val="single" w:sz="8" w:space="0" w:color="033636" w:themeColor="text2"/>
            </w:tcBorders>
          </w:tcPr>
          <w:p w14:paraId="0B0B8BB4" w14:textId="77777777" w:rsidR="00817197" w:rsidRPr="00817197" w:rsidRDefault="00817197" w:rsidP="00817197">
            <w:pPr>
              <w:pStyle w:val="CDITable-RowLeft"/>
            </w:pPr>
          </w:p>
        </w:tc>
        <w:tc>
          <w:tcPr>
            <w:tcW w:w="221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FB34A2"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41F0630" w14:textId="77777777" w:rsidR="00817197" w:rsidRPr="00817197" w:rsidRDefault="00817197" w:rsidP="00817197">
            <w:pPr>
              <w:pStyle w:val="CDITable-RowCentre"/>
            </w:pPr>
            <w:r w:rsidRPr="00817197">
              <w:t>67</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3D4962" w14:textId="77777777" w:rsidR="00817197" w:rsidRPr="00817197" w:rsidRDefault="00817197" w:rsidP="00817197">
            <w:pPr>
              <w:pStyle w:val="CDITable-RowCentre"/>
            </w:pPr>
            <w:r w:rsidRPr="00817197">
              <w:t>55</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B352EA9" w14:textId="77777777" w:rsidR="00817197" w:rsidRPr="00817197" w:rsidRDefault="00817197" w:rsidP="00817197">
            <w:pPr>
              <w:pStyle w:val="CDITable-RowCentre"/>
            </w:pPr>
            <w:r w:rsidRPr="00817197">
              <w:t>39</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4BDF30" w14:textId="77777777" w:rsidR="00817197" w:rsidRPr="00817197" w:rsidRDefault="00817197" w:rsidP="00817197">
            <w:pPr>
              <w:pStyle w:val="CDITable-RowCentre"/>
            </w:pPr>
            <w:r w:rsidRPr="00817197">
              <w:t>56</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3BE0D74" w14:textId="77777777" w:rsidR="00817197" w:rsidRPr="00817197" w:rsidRDefault="00817197" w:rsidP="00817197">
            <w:pPr>
              <w:pStyle w:val="CDITable-RowCentre"/>
            </w:pPr>
            <w:r w:rsidRPr="00817197">
              <w:t>148</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D16ECE3" w14:textId="77777777" w:rsidR="00817197" w:rsidRPr="00817197" w:rsidRDefault="00817197" w:rsidP="00817197">
            <w:pPr>
              <w:pStyle w:val="CDITable-RowCentre"/>
            </w:pPr>
            <w:r w:rsidRPr="00817197">
              <w:t>163</w:t>
            </w:r>
          </w:p>
        </w:tc>
      </w:tr>
      <w:tr w:rsidR="00817197" w:rsidRPr="00817197" w14:paraId="720255A9" w14:textId="77777777" w:rsidTr="00817197">
        <w:trPr>
          <w:divId w:val="935526654"/>
          <w:trHeight w:val="20"/>
        </w:trPr>
        <w:tc>
          <w:tcPr>
            <w:tcW w:w="1417" w:type="dxa"/>
            <w:vMerge/>
            <w:tcBorders>
              <w:bottom w:val="single" w:sz="8" w:space="0" w:color="033636" w:themeColor="text2"/>
            </w:tcBorders>
          </w:tcPr>
          <w:p w14:paraId="184888E9" w14:textId="77777777" w:rsidR="00817197" w:rsidRPr="00817197" w:rsidRDefault="00817197" w:rsidP="00817197">
            <w:pPr>
              <w:pStyle w:val="CDITable-RowLeft"/>
            </w:pPr>
          </w:p>
        </w:tc>
        <w:tc>
          <w:tcPr>
            <w:tcW w:w="221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1B90659" w14:textId="77777777" w:rsidR="00817197" w:rsidRPr="00817197" w:rsidRDefault="00817197" w:rsidP="00817197">
            <w:pPr>
              <w:pStyle w:val="CDITable-RowLeft"/>
            </w:pPr>
            <w:r w:rsidRPr="00817197">
              <w:t>Test positivity rate (%)</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235448C" w14:textId="77777777" w:rsidR="00817197" w:rsidRPr="00817197" w:rsidRDefault="00817197" w:rsidP="00817197">
            <w:pPr>
              <w:pStyle w:val="CDITable-RowCentre"/>
            </w:pPr>
            <w:r w:rsidRPr="00817197">
              <w:t>20.4</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0937BE2" w14:textId="77777777" w:rsidR="00817197" w:rsidRPr="00817197" w:rsidRDefault="00817197" w:rsidP="00817197">
            <w:pPr>
              <w:pStyle w:val="CDITable-RowCentre"/>
            </w:pPr>
            <w:r w:rsidRPr="00817197">
              <w:t>12.5</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50482D0" w14:textId="77777777" w:rsidR="00817197" w:rsidRPr="00817197" w:rsidRDefault="00817197" w:rsidP="00817197">
            <w:pPr>
              <w:pStyle w:val="CDITable-RowCentre"/>
            </w:pPr>
            <w:r w:rsidRPr="00817197">
              <w:t>16.1</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91B4D2F" w14:textId="77777777" w:rsidR="00817197" w:rsidRPr="00817197" w:rsidRDefault="00817197" w:rsidP="00817197">
            <w:pPr>
              <w:pStyle w:val="CDITable-RowCentre"/>
            </w:pPr>
            <w:r w:rsidRPr="00817197">
              <w:t>14.9</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76D0C4C" w14:textId="77777777" w:rsidR="00817197" w:rsidRPr="00817197" w:rsidRDefault="00817197" w:rsidP="00817197">
            <w:pPr>
              <w:pStyle w:val="CDITable-RowCentre"/>
            </w:pPr>
            <w:r w:rsidRPr="00817197">
              <w:t>19.1</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D7D7BC7" w14:textId="77777777" w:rsidR="00817197" w:rsidRPr="00817197" w:rsidRDefault="00817197" w:rsidP="00817197">
            <w:pPr>
              <w:pStyle w:val="CDITable-RowCentre"/>
            </w:pPr>
            <w:r w:rsidRPr="00817197">
              <w:t>15.5</w:t>
            </w:r>
          </w:p>
        </w:tc>
      </w:tr>
      <w:tr w:rsidR="00817197" w:rsidRPr="00817197" w14:paraId="26B9627F" w14:textId="77777777" w:rsidTr="00817197">
        <w:trPr>
          <w:divId w:val="935526654"/>
          <w:trHeight w:val="20"/>
        </w:trPr>
        <w:tc>
          <w:tcPr>
            <w:tcW w:w="1417" w:type="dxa"/>
            <w:vMerge w:val="restart"/>
            <w:tcBorders>
              <w:top w:val="single" w:sz="8" w:space="0" w:color="033636" w:themeColor="text2"/>
              <w:bottom w:val="single" w:sz="8" w:space="0" w:color="033636" w:themeColor="text2"/>
            </w:tcBorders>
            <w:tcMar>
              <w:top w:w="113" w:type="dxa"/>
              <w:left w:w="113" w:type="dxa"/>
              <w:bottom w:w="113" w:type="dxa"/>
              <w:right w:w="113" w:type="dxa"/>
            </w:tcMar>
            <w:vAlign w:val="center"/>
          </w:tcPr>
          <w:p w14:paraId="5E9D2276" w14:textId="77777777" w:rsidR="00817197" w:rsidRPr="00817197" w:rsidRDefault="00817197" w:rsidP="00817197">
            <w:pPr>
              <w:pStyle w:val="CDITable-RowLeft"/>
            </w:pPr>
            <w:r w:rsidRPr="00817197">
              <w:t>1–5</w:t>
            </w:r>
          </w:p>
        </w:tc>
        <w:tc>
          <w:tcPr>
            <w:tcW w:w="221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4D4002A0" w14:textId="77777777" w:rsidR="00817197" w:rsidRPr="00817197" w:rsidRDefault="00817197" w:rsidP="00817197">
            <w:pPr>
              <w:pStyle w:val="CDITable-RowLeft"/>
            </w:pPr>
            <w:r w:rsidRPr="00817197">
              <w:t>Test counts (n)</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BB19456" w14:textId="77777777" w:rsidR="00817197" w:rsidRPr="00817197" w:rsidRDefault="00817197" w:rsidP="00817197">
            <w:pPr>
              <w:pStyle w:val="CDITable-RowCentre"/>
            </w:pPr>
            <w:r w:rsidRPr="00817197">
              <w:t>441</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56946369" w14:textId="77777777" w:rsidR="00817197" w:rsidRPr="00817197" w:rsidRDefault="00817197" w:rsidP="00817197">
            <w:pPr>
              <w:pStyle w:val="CDITable-RowCentre"/>
            </w:pPr>
            <w:r w:rsidRPr="00817197">
              <w:t>708</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15B68784" w14:textId="77777777" w:rsidR="00817197" w:rsidRPr="00817197" w:rsidRDefault="00817197" w:rsidP="00817197">
            <w:pPr>
              <w:pStyle w:val="CDITable-RowCentre"/>
            </w:pPr>
            <w:r w:rsidRPr="00817197">
              <w:t>474</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16799AAA" w14:textId="77777777" w:rsidR="00817197" w:rsidRPr="00817197" w:rsidRDefault="00817197" w:rsidP="00817197">
            <w:pPr>
              <w:pStyle w:val="CDITable-RowCentre"/>
            </w:pPr>
            <w:r w:rsidRPr="00817197">
              <w:t>757</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522F18B7" w14:textId="77777777" w:rsidR="00817197" w:rsidRPr="00817197" w:rsidRDefault="00817197" w:rsidP="00817197">
            <w:pPr>
              <w:pStyle w:val="CDITable-RowCentre"/>
            </w:pPr>
            <w:r w:rsidRPr="00817197">
              <w:t>1,671</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3D3FDB8" w14:textId="77777777" w:rsidR="00817197" w:rsidRPr="00817197" w:rsidRDefault="00817197" w:rsidP="00817197">
            <w:pPr>
              <w:pStyle w:val="CDITable-RowCentre"/>
            </w:pPr>
            <w:r w:rsidRPr="00817197">
              <w:t>2,299</w:t>
            </w:r>
          </w:p>
        </w:tc>
      </w:tr>
      <w:tr w:rsidR="00817197" w:rsidRPr="00817197" w14:paraId="2ECD7404" w14:textId="77777777" w:rsidTr="00817197">
        <w:trPr>
          <w:divId w:val="935526654"/>
          <w:trHeight w:val="20"/>
        </w:trPr>
        <w:tc>
          <w:tcPr>
            <w:tcW w:w="1417" w:type="dxa"/>
            <w:vMerge/>
            <w:tcBorders>
              <w:bottom w:val="single" w:sz="8" w:space="0" w:color="033636" w:themeColor="text2"/>
            </w:tcBorders>
          </w:tcPr>
          <w:p w14:paraId="31047648" w14:textId="77777777" w:rsidR="00817197" w:rsidRPr="00817197" w:rsidRDefault="00817197" w:rsidP="00817197">
            <w:pPr>
              <w:pStyle w:val="CDITable-RowLeft"/>
            </w:pPr>
          </w:p>
        </w:tc>
        <w:tc>
          <w:tcPr>
            <w:tcW w:w="221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3A8153"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6800679" w14:textId="77777777" w:rsidR="00817197" w:rsidRPr="00817197" w:rsidRDefault="00817197" w:rsidP="00817197">
            <w:pPr>
              <w:pStyle w:val="CDITable-RowCentre"/>
            </w:pPr>
            <w:r w:rsidRPr="00817197">
              <w:t>72</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852813" w14:textId="77777777" w:rsidR="00817197" w:rsidRPr="00817197" w:rsidRDefault="00817197" w:rsidP="00817197">
            <w:pPr>
              <w:pStyle w:val="CDITable-RowCentre"/>
            </w:pPr>
            <w:r w:rsidRPr="00817197">
              <w:t>46</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75F2BC1" w14:textId="77777777" w:rsidR="00817197" w:rsidRPr="00817197" w:rsidRDefault="00817197" w:rsidP="00817197">
            <w:pPr>
              <w:pStyle w:val="CDITable-RowCentre"/>
            </w:pPr>
            <w:r w:rsidRPr="00817197">
              <w:t>69</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1E768F" w14:textId="77777777" w:rsidR="00817197" w:rsidRPr="00817197" w:rsidRDefault="00817197" w:rsidP="00817197">
            <w:pPr>
              <w:pStyle w:val="CDITable-RowCentre"/>
            </w:pPr>
            <w:r w:rsidRPr="00817197">
              <w:t>85</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0B737EC" w14:textId="77777777" w:rsidR="00817197" w:rsidRPr="00817197" w:rsidRDefault="00817197" w:rsidP="00817197">
            <w:pPr>
              <w:pStyle w:val="CDITable-RowCentre"/>
            </w:pPr>
            <w:r w:rsidRPr="00817197">
              <w:t>259</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E928C1" w14:textId="77777777" w:rsidR="00817197" w:rsidRPr="00817197" w:rsidRDefault="00817197" w:rsidP="00817197">
            <w:pPr>
              <w:pStyle w:val="CDITable-RowCentre"/>
            </w:pPr>
            <w:r w:rsidRPr="00817197">
              <w:t>259</w:t>
            </w:r>
          </w:p>
        </w:tc>
      </w:tr>
      <w:tr w:rsidR="00817197" w:rsidRPr="00817197" w14:paraId="53A9031E" w14:textId="77777777" w:rsidTr="00817197">
        <w:trPr>
          <w:divId w:val="935526654"/>
          <w:trHeight w:val="20"/>
        </w:trPr>
        <w:tc>
          <w:tcPr>
            <w:tcW w:w="1417" w:type="dxa"/>
            <w:vMerge/>
            <w:tcBorders>
              <w:bottom w:val="single" w:sz="8" w:space="0" w:color="033636" w:themeColor="text2"/>
            </w:tcBorders>
          </w:tcPr>
          <w:p w14:paraId="1AE899B1" w14:textId="77777777" w:rsidR="00817197" w:rsidRPr="00817197" w:rsidRDefault="00817197" w:rsidP="00817197">
            <w:pPr>
              <w:pStyle w:val="CDITable-RowLeft"/>
            </w:pPr>
          </w:p>
        </w:tc>
        <w:tc>
          <w:tcPr>
            <w:tcW w:w="221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85CE5C7" w14:textId="77777777" w:rsidR="00817197" w:rsidRPr="00817197" w:rsidRDefault="00817197" w:rsidP="00817197">
            <w:pPr>
              <w:pStyle w:val="CDITable-RowLeft"/>
            </w:pPr>
            <w:r w:rsidRPr="00817197">
              <w:t>Test positivity rate (%)</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EE7F243" w14:textId="77777777" w:rsidR="00817197" w:rsidRPr="00817197" w:rsidRDefault="00817197" w:rsidP="00817197">
            <w:pPr>
              <w:pStyle w:val="CDITable-RowCentre"/>
            </w:pPr>
            <w:r w:rsidRPr="00817197">
              <w:t>16.3</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345CE8E" w14:textId="77777777" w:rsidR="00817197" w:rsidRPr="00817197" w:rsidRDefault="00817197" w:rsidP="00817197">
            <w:pPr>
              <w:pStyle w:val="CDITable-RowCentre"/>
            </w:pPr>
            <w:r w:rsidRPr="00817197">
              <w:t>6.5</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811EBBD" w14:textId="77777777" w:rsidR="00817197" w:rsidRPr="00817197" w:rsidRDefault="00817197" w:rsidP="00817197">
            <w:pPr>
              <w:pStyle w:val="CDITable-RowCentre"/>
            </w:pPr>
            <w:r w:rsidRPr="00817197">
              <w:t>14.6</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28D7673" w14:textId="77777777" w:rsidR="00817197" w:rsidRPr="00817197" w:rsidRDefault="00817197" w:rsidP="00817197">
            <w:pPr>
              <w:pStyle w:val="CDITable-RowCentre"/>
            </w:pPr>
            <w:r w:rsidRPr="00817197">
              <w:t>11.2</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805C384" w14:textId="77777777" w:rsidR="00817197" w:rsidRPr="00817197" w:rsidRDefault="00817197" w:rsidP="00817197">
            <w:pPr>
              <w:pStyle w:val="CDITable-RowCentre"/>
            </w:pPr>
            <w:r w:rsidRPr="00817197">
              <w:t>15.5</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02A5919" w14:textId="77777777" w:rsidR="00817197" w:rsidRPr="00817197" w:rsidRDefault="00817197" w:rsidP="00817197">
            <w:pPr>
              <w:pStyle w:val="CDITable-RowCentre"/>
            </w:pPr>
            <w:r w:rsidRPr="00817197">
              <w:t>11.3</w:t>
            </w:r>
          </w:p>
        </w:tc>
      </w:tr>
      <w:tr w:rsidR="00817197" w:rsidRPr="00817197" w14:paraId="515F5BB8" w14:textId="77777777" w:rsidTr="00817197">
        <w:trPr>
          <w:divId w:val="935526654"/>
          <w:trHeight w:val="20"/>
        </w:trPr>
        <w:tc>
          <w:tcPr>
            <w:tcW w:w="1417" w:type="dxa"/>
            <w:vMerge w:val="restart"/>
            <w:tcBorders>
              <w:top w:val="single" w:sz="8" w:space="0" w:color="033636" w:themeColor="text2"/>
              <w:bottom w:val="single" w:sz="8" w:space="0" w:color="033636" w:themeColor="text2"/>
            </w:tcBorders>
            <w:tcMar>
              <w:top w:w="113" w:type="dxa"/>
              <w:left w:w="113" w:type="dxa"/>
              <w:bottom w:w="113" w:type="dxa"/>
              <w:right w:w="113" w:type="dxa"/>
            </w:tcMar>
            <w:vAlign w:val="center"/>
          </w:tcPr>
          <w:p w14:paraId="15E967CC" w14:textId="77777777" w:rsidR="00817197" w:rsidRPr="00817197" w:rsidRDefault="00817197" w:rsidP="00817197">
            <w:pPr>
              <w:pStyle w:val="CDITable-RowLeft"/>
            </w:pPr>
            <w:r w:rsidRPr="00817197">
              <w:t>6–19</w:t>
            </w:r>
          </w:p>
        </w:tc>
        <w:tc>
          <w:tcPr>
            <w:tcW w:w="221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63FC50B" w14:textId="77777777" w:rsidR="00817197" w:rsidRPr="00817197" w:rsidRDefault="00817197" w:rsidP="00817197">
            <w:pPr>
              <w:pStyle w:val="CDITable-RowLeft"/>
            </w:pPr>
            <w:r w:rsidRPr="00817197">
              <w:t>Test counts (n)</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4776F8DC" w14:textId="77777777" w:rsidR="00817197" w:rsidRPr="00817197" w:rsidRDefault="00817197" w:rsidP="00817197">
            <w:pPr>
              <w:pStyle w:val="CDITable-RowCentre"/>
            </w:pPr>
            <w:r w:rsidRPr="00817197">
              <w:t>196</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A35DCCD" w14:textId="77777777" w:rsidR="00817197" w:rsidRPr="00817197" w:rsidRDefault="00817197" w:rsidP="00817197">
            <w:pPr>
              <w:pStyle w:val="CDITable-RowCentre"/>
            </w:pPr>
            <w:r w:rsidRPr="00817197">
              <w:t>438</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F6465E3" w14:textId="77777777" w:rsidR="00817197" w:rsidRPr="00817197" w:rsidRDefault="00817197" w:rsidP="00817197">
            <w:pPr>
              <w:pStyle w:val="CDITable-RowCentre"/>
            </w:pPr>
            <w:r w:rsidRPr="00817197">
              <w:t>322</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9A57EE6" w14:textId="77777777" w:rsidR="00817197" w:rsidRPr="00817197" w:rsidRDefault="00817197" w:rsidP="00817197">
            <w:pPr>
              <w:pStyle w:val="CDITable-RowCentre"/>
            </w:pPr>
            <w:r w:rsidRPr="00817197">
              <w:t>446</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D01F155" w14:textId="77777777" w:rsidR="00817197" w:rsidRPr="00817197" w:rsidRDefault="00817197" w:rsidP="00817197">
            <w:pPr>
              <w:pStyle w:val="CDITable-RowCentre"/>
            </w:pPr>
            <w:r w:rsidRPr="00817197">
              <w:t>1,145</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E941110" w14:textId="77777777" w:rsidR="00817197" w:rsidRPr="00817197" w:rsidRDefault="00817197" w:rsidP="00817197">
            <w:pPr>
              <w:pStyle w:val="CDITable-RowCentre"/>
            </w:pPr>
            <w:r w:rsidRPr="00817197">
              <w:t>1,926</w:t>
            </w:r>
          </w:p>
        </w:tc>
      </w:tr>
      <w:tr w:rsidR="00817197" w:rsidRPr="00817197" w14:paraId="483CDE25" w14:textId="77777777" w:rsidTr="00817197">
        <w:trPr>
          <w:divId w:val="935526654"/>
          <w:trHeight w:val="20"/>
        </w:trPr>
        <w:tc>
          <w:tcPr>
            <w:tcW w:w="1417" w:type="dxa"/>
            <w:vMerge/>
            <w:tcBorders>
              <w:bottom w:val="single" w:sz="8" w:space="0" w:color="033636" w:themeColor="text2"/>
            </w:tcBorders>
          </w:tcPr>
          <w:p w14:paraId="524E7191" w14:textId="77777777" w:rsidR="00817197" w:rsidRPr="00817197" w:rsidRDefault="00817197" w:rsidP="00817197">
            <w:pPr>
              <w:pStyle w:val="CDITable-RowLeft"/>
            </w:pPr>
          </w:p>
        </w:tc>
        <w:tc>
          <w:tcPr>
            <w:tcW w:w="221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667ABB5"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2330509" w14:textId="77777777" w:rsidR="00817197" w:rsidRPr="00817197" w:rsidRDefault="00817197" w:rsidP="00817197">
            <w:pPr>
              <w:pStyle w:val="CDITable-RowCentre"/>
            </w:pPr>
            <w:r w:rsidRPr="00817197">
              <w:t>11</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A5512A5" w14:textId="77777777" w:rsidR="00817197" w:rsidRPr="00817197" w:rsidRDefault="00817197" w:rsidP="00817197">
            <w:pPr>
              <w:pStyle w:val="CDITable-RowCentre"/>
            </w:pPr>
            <w:r w:rsidRPr="00817197">
              <w:t>7</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B91ED5" w14:textId="77777777" w:rsidR="00817197" w:rsidRPr="00817197" w:rsidRDefault="00817197" w:rsidP="00817197">
            <w:pPr>
              <w:pStyle w:val="CDITable-RowCentre"/>
            </w:pPr>
            <w:r w:rsidRPr="00817197">
              <w:t>15</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4E09185" w14:textId="77777777" w:rsidR="00817197" w:rsidRPr="00817197" w:rsidRDefault="00817197" w:rsidP="00817197">
            <w:pPr>
              <w:pStyle w:val="CDITable-RowCentre"/>
            </w:pPr>
            <w:r w:rsidRPr="00817197">
              <w:t>17</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63B6160" w14:textId="77777777" w:rsidR="00817197" w:rsidRPr="00817197" w:rsidRDefault="00817197" w:rsidP="00817197">
            <w:pPr>
              <w:pStyle w:val="CDITable-RowCentre"/>
            </w:pPr>
            <w:r w:rsidRPr="00817197">
              <w:t>43</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F137359" w14:textId="77777777" w:rsidR="00817197" w:rsidRPr="00817197" w:rsidRDefault="00817197" w:rsidP="00817197">
            <w:pPr>
              <w:pStyle w:val="CDITable-RowCentre"/>
            </w:pPr>
            <w:r w:rsidRPr="00817197">
              <w:t>40</w:t>
            </w:r>
          </w:p>
        </w:tc>
      </w:tr>
      <w:tr w:rsidR="00817197" w:rsidRPr="00817197" w14:paraId="3A90E430" w14:textId="77777777" w:rsidTr="00817197">
        <w:trPr>
          <w:divId w:val="935526654"/>
          <w:trHeight w:val="20"/>
        </w:trPr>
        <w:tc>
          <w:tcPr>
            <w:tcW w:w="1417" w:type="dxa"/>
            <w:vMerge/>
            <w:tcBorders>
              <w:bottom w:val="single" w:sz="8" w:space="0" w:color="033636" w:themeColor="text2"/>
            </w:tcBorders>
          </w:tcPr>
          <w:p w14:paraId="62230FD9" w14:textId="77777777" w:rsidR="00817197" w:rsidRPr="00817197" w:rsidRDefault="00817197" w:rsidP="00817197">
            <w:pPr>
              <w:pStyle w:val="CDITable-RowLeft"/>
            </w:pPr>
          </w:p>
        </w:tc>
        <w:tc>
          <w:tcPr>
            <w:tcW w:w="221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623F2F0" w14:textId="77777777" w:rsidR="00817197" w:rsidRPr="00817197" w:rsidRDefault="00817197" w:rsidP="00817197">
            <w:pPr>
              <w:pStyle w:val="CDITable-RowLeft"/>
            </w:pPr>
            <w:r w:rsidRPr="00817197">
              <w:t>Test positivity rate (%)</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C2BCBBC" w14:textId="77777777" w:rsidR="00817197" w:rsidRPr="00817197" w:rsidRDefault="00817197" w:rsidP="00817197">
            <w:pPr>
              <w:pStyle w:val="CDITable-RowCentre"/>
            </w:pPr>
            <w:r w:rsidRPr="00817197">
              <w:t>5.6</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733D087" w14:textId="77777777" w:rsidR="00817197" w:rsidRPr="00817197" w:rsidRDefault="00817197" w:rsidP="00817197">
            <w:pPr>
              <w:pStyle w:val="CDITable-RowCentre"/>
            </w:pPr>
            <w:r w:rsidRPr="00817197">
              <w:t>1.6</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9D38DBB" w14:textId="77777777" w:rsidR="00817197" w:rsidRPr="00817197" w:rsidRDefault="00817197" w:rsidP="00817197">
            <w:pPr>
              <w:pStyle w:val="CDITable-RowCentre"/>
            </w:pPr>
            <w:r w:rsidRPr="00817197">
              <w:t>4.7</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3F10BBD" w14:textId="77777777" w:rsidR="00817197" w:rsidRPr="00817197" w:rsidRDefault="00817197" w:rsidP="00817197">
            <w:pPr>
              <w:pStyle w:val="CDITable-RowCentre"/>
            </w:pPr>
            <w:r w:rsidRPr="00817197">
              <w:t>3.8</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15C0C1A" w14:textId="77777777" w:rsidR="00817197" w:rsidRPr="00817197" w:rsidRDefault="00817197" w:rsidP="00817197">
            <w:pPr>
              <w:pStyle w:val="CDITable-RowCentre"/>
            </w:pPr>
            <w:r w:rsidRPr="00817197">
              <w:t>3.8</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349355C" w14:textId="77777777" w:rsidR="00817197" w:rsidRPr="00817197" w:rsidRDefault="00817197" w:rsidP="00817197">
            <w:pPr>
              <w:pStyle w:val="CDITable-RowCentre"/>
            </w:pPr>
            <w:r w:rsidRPr="00817197">
              <w:t>2.1</w:t>
            </w:r>
          </w:p>
        </w:tc>
      </w:tr>
      <w:tr w:rsidR="00817197" w:rsidRPr="00817197" w14:paraId="65B1DF30" w14:textId="77777777" w:rsidTr="00817197">
        <w:trPr>
          <w:divId w:val="935526654"/>
          <w:trHeight w:val="20"/>
        </w:trPr>
        <w:tc>
          <w:tcPr>
            <w:tcW w:w="1417" w:type="dxa"/>
            <w:vMerge w:val="restart"/>
            <w:tcBorders>
              <w:top w:val="single" w:sz="8" w:space="0" w:color="033636" w:themeColor="text2"/>
              <w:bottom w:val="single" w:sz="8" w:space="0" w:color="033636" w:themeColor="text2"/>
            </w:tcBorders>
            <w:tcMar>
              <w:top w:w="113" w:type="dxa"/>
              <w:left w:w="113" w:type="dxa"/>
              <w:bottom w:w="113" w:type="dxa"/>
              <w:right w:w="113" w:type="dxa"/>
            </w:tcMar>
            <w:vAlign w:val="center"/>
          </w:tcPr>
          <w:p w14:paraId="638ED024" w14:textId="77777777" w:rsidR="00817197" w:rsidRPr="00817197" w:rsidRDefault="00817197" w:rsidP="00817197">
            <w:pPr>
              <w:pStyle w:val="CDITable-RowLeft"/>
            </w:pPr>
            <w:r w:rsidRPr="00817197">
              <w:t>20–59</w:t>
            </w:r>
          </w:p>
        </w:tc>
        <w:tc>
          <w:tcPr>
            <w:tcW w:w="221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8D3D296" w14:textId="77777777" w:rsidR="00817197" w:rsidRPr="00817197" w:rsidRDefault="00817197" w:rsidP="00817197">
            <w:pPr>
              <w:pStyle w:val="CDITable-RowLeft"/>
            </w:pPr>
            <w:r w:rsidRPr="00817197">
              <w:t>Test counts (n)</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142B8B4" w14:textId="77777777" w:rsidR="00817197" w:rsidRPr="00817197" w:rsidRDefault="00817197" w:rsidP="00817197">
            <w:pPr>
              <w:pStyle w:val="CDITable-RowCentre"/>
            </w:pPr>
            <w:r w:rsidRPr="00817197">
              <w:t>402</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7B4C71B" w14:textId="77777777" w:rsidR="00817197" w:rsidRPr="00817197" w:rsidRDefault="00817197" w:rsidP="00817197">
            <w:pPr>
              <w:pStyle w:val="CDITable-RowCentre"/>
            </w:pPr>
            <w:r w:rsidRPr="00817197">
              <w:t>585</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5D471812" w14:textId="77777777" w:rsidR="00817197" w:rsidRPr="00817197" w:rsidRDefault="00817197" w:rsidP="00817197">
            <w:pPr>
              <w:pStyle w:val="CDITable-RowCentre"/>
            </w:pPr>
            <w:r w:rsidRPr="00817197">
              <w:t>579</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B734C66" w14:textId="77777777" w:rsidR="00817197" w:rsidRPr="00817197" w:rsidRDefault="00817197" w:rsidP="00817197">
            <w:pPr>
              <w:pStyle w:val="CDITable-RowCentre"/>
            </w:pPr>
            <w:r w:rsidRPr="00817197">
              <w:t>1,484</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6146A112" w14:textId="77777777" w:rsidR="00817197" w:rsidRPr="00817197" w:rsidRDefault="00817197" w:rsidP="00817197">
            <w:pPr>
              <w:pStyle w:val="CDITable-RowCentre"/>
            </w:pPr>
            <w:r w:rsidRPr="00817197">
              <w:t>2,518</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6D9E1C55" w14:textId="77777777" w:rsidR="00817197" w:rsidRPr="00817197" w:rsidRDefault="00817197" w:rsidP="00817197">
            <w:pPr>
              <w:pStyle w:val="CDITable-RowCentre"/>
            </w:pPr>
            <w:r w:rsidRPr="00817197">
              <w:t>4,392</w:t>
            </w:r>
          </w:p>
        </w:tc>
      </w:tr>
      <w:tr w:rsidR="00817197" w:rsidRPr="00817197" w14:paraId="477EE07C" w14:textId="77777777" w:rsidTr="00817197">
        <w:trPr>
          <w:divId w:val="935526654"/>
          <w:trHeight w:val="20"/>
        </w:trPr>
        <w:tc>
          <w:tcPr>
            <w:tcW w:w="1417" w:type="dxa"/>
            <w:vMerge/>
            <w:tcBorders>
              <w:bottom w:val="single" w:sz="8" w:space="0" w:color="033636" w:themeColor="text2"/>
            </w:tcBorders>
          </w:tcPr>
          <w:p w14:paraId="73CC2D72" w14:textId="77777777" w:rsidR="00817197" w:rsidRPr="00817197" w:rsidRDefault="00817197" w:rsidP="00817197"/>
        </w:tc>
        <w:tc>
          <w:tcPr>
            <w:tcW w:w="221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AF855A9"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3FB404A" w14:textId="77777777" w:rsidR="00817197" w:rsidRPr="00817197" w:rsidRDefault="00817197" w:rsidP="00817197">
            <w:pPr>
              <w:pStyle w:val="CDITable-RowCentre"/>
            </w:pPr>
            <w:r w:rsidRPr="00817197">
              <w:t>20</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8DE0F27" w14:textId="77777777" w:rsidR="00817197" w:rsidRPr="00817197" w:rsidRDefault="00817197" w:rsidP="00817197">
            <w:pPr>
              <w:pStyle w:val="CDITable-RowCentre"/>
            </w:pPr>
            <w:r w:rsidRPr="00817197">
              <w:t>8</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F834D0" w14:textId="77777777" w:rsidR="00817197" w:rsidRPr="00817197" w:rsidRDefault="00817197" w:rsidP="00817197">
            <w:pPr>
              <w:pStyle w:val="CDITable-RowCentre"/>
            </w:pPr>
            <w:r w:rsidRPr="00817197">
              <w:t>8</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20F1443" w14:textId="77777777" w:rsidR="00817197" w:rsidRPr="00817197" w:rsidRDefault="00817197" w:rsidP="00817197">
            <w:pPr>
              <w:pStyle w:val="CDITable-RowCentre"/>
            </w:pPr>
            <w:r w:rsidRPr="00817197">
              <w:t>19</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891C30" w14:textId="77777777" w:rsidR="00817197" w:rsidRPr="00817197" w:rsidRDefault="00817197" w:rsidP="00817197">
            <w:pPr>
              <w:pStyle w:val="CDITable-RowCentre"/>
            </w:pPr>
            <w:r w:rsidRPr="00817197">
              <w:t>65</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20B5313" w14:textId="77777777" w:rsidR="00817197" w:rsidRPr="00817197" w:rsidRDefault="00817197" w:rsidP="00817197">
            <w:pPr>
              <w:pStyle w:val="CDITable-RowCentre"/>
            </w:pPr>
            <w:r w:rsidRPr="00817197">
              <w:t>65</w:t>
            </w:r>
          </w:p>
        </w:tc>
      </w:tr>
      <w:tr w:rsidR="00817197" w:rsidRPr="00817197" w14:paraId="7B47593C" w14:textId="77777777" w:rsidTr="00817197">
        <w:trPr>
          <w:divId w:val="935526654"/>
          <w:trHeight w:val="20"/>
        </w:trPr>
        <w:tc>
          <w:tcPr>
            <w:tcW w:w="1417" w:type="dxa"/>
            <w:vMerge/>
            <w:tcBorders>
              <w:bottom w:val="single" w:sz="8" w:space="0" w:color="033636" w:themeColor="text2"/>
            </w:tcBorders>
          </w:tcPr>
          <w:p w14:paraId="6976D40E" w14:textId="77777777" w:rsidR="00817197" w:rsidRPr="00817197" w:rsidRDefault="00817197" w:rsidP="00817197"/>
        </w:tc>
        <w:tc>
          <w:tcPr>
            <w:tcW w:w="221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EB20337" w14:textId="77777777" w:rsidR="00817197" w:rsidRPr="00817197" w:rsidRDefault="00817197" w:rsidP="00817197">
            <w:pPr>
              <w:pStyle w:val="CDITable-RowLeft"/>
            </w:pPr>
            <w:r w:rsidRPr="00817197">
              <w:t>Test positivity rate (%)</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E321E8F" w14:textId="77777777" w:rsidR="00817197" w:rsidRPr="00817197" w:rsidRDefault="00817197" w:rsidP="00817197">
            <w:pPr>
              <w:pStyle w:val="CDITable-RowCentre"/>
            </w:pPr>
            <w:r w:rsidRPr="00817197">
              <w:t>5</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3CB3C06" w14:textId="77777777" w:rsidR="00817197" w:rsidRPr="00817197" w:rsidRDefault="00817197" w:rsidP="00817197">
            <w:pPr>
              <w:pStyle w:val="CDITable-RowCentre"/>
            </w:pPr>
            <w:r w:rsidRPr="00817197">
              <w:t>1.4</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6CA977B" w14:textId="77777777" w:rsidR="00817197" w:rsidRPr="00817197" w:rsidRDefault="00817197" w:rsidP="00817197">
            <w:pPr>
              <w:pStyle w:val="CDITable-RowCentre"/>
            </w:pPr>
            <w:r w:rsidRPr="00817197">
              <w:t>1.4</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52239B5" w14:textId="77777777" w:rsidR="00817197" w:rsidRPr="00817197" w:rsidRDefault="00817197" w:rsidP="00817197">
            <w:pPr>
              <w:pStyle w:val="CDITable-RowCentre"/>
            </w:pPr>
            <w:r w:rsidRPr="00817197">
              <w:t>1.3</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D0C7713" w14:textId="77777777" w:rsidR="00817197" w:rsidRPr="00817197" w:rsidRDefault="00817197" w:rsidP="00817197">
            <w:pPr>
              <w:pStyle w:val="CDITable-RowCentre"/>
            </w:pPr>
            <w:r w:rsidRPr="00817197">
              <w:t>2.6</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240CEB9" w14:textId="77777777" w:rsidR="00817197" w:rsidRPr="00817197" w:rsidRDefault="00817197" w:rsidP="00817197">
            <w:pPr>
              <w:pStyle w:val="CDITable-RowCentre"/>
            </w:pPr>
            <w:r w:rsidRPr="00817197">
              <w:t>1.5</w:t>
            </w:r>
          </w:p>
        </w:tc>
      </w:tr>
      <w:tr w:rsidR="00817197" w:rsidRPr="00817197" w14:paraId="041F32EA" w14:textId="77777777" w:rsidTr="00817197">
        <w:trPr>
          <w:divId w:val="935526654"/>
          <w:trHeight w:val="20"/>
        </w:trPr>
        <w:tc>
          <w:tcPr>
            <w:tcW w:w="1417" w:type="dxa"/>
            <w:vMerge w:val="restart"/>
            <w:tcBorders>
              <w:top w:val="single" w:sz="8" w:space="0" w:color="033636" w:themeColor="text2"/>
              <w:bottom w:val="single" w:sz="8" w:space="0" w:color="033636" w:themeColor="text2"/>
            </w:tcBorders>
            <w:tcMar>
              <w:top w:w="113" w:type="dxa"/>
              <w:left w:w="113" w:type="dxa"/>
              <w:bottom w:w="113" w:type="dxa"/>
              <w:right w:w="113" w:type="dxa"/>
            </w:tcMar>
            <w:vAlign w:val="center"/>
          </w:tcPr>
          <w:p w14:paraId="7B373E51" w14:textId="77777777" w:rsidR="00817197" w:rsidRPr="00817197" w:rsidRDefault="00817197" w:rsidP="00817197">
            <w:r w:rsidRPr="00817197">
              <w:t>≥ 60</w:t>
            </w:r>
          </w:p>
        </w:tc>
        <w:tc>
          <w:tcPr>
            <w:tcW w:w="221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115E9C72" w14:textId="77777777" w:rsidR="00817197" w:rsidRPr="00817197" w:rsidRDefault="00817197" w:rsidP="00817197">
            <w:pPr>
              <w:pStyle w:val="CDITable-RowLeft"/>
            </w:pPr>
            <w:r w:rsidRPr="00817197">
              <w:t>Test counts (n)</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5A46DFE" w14:textId="77777777" w:rsidR="00817197" w:rsidRPr="00817197" w:rsidRDefault="00817197" w:rsidP="00817197">
            <w:pPr>
              <w:pStyle w:val="CDITable-RowCentre"/>
            </w:pPr>
            <w:r w:rsidRPr="00817197">
              <w:t>316</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401CAC66" w14:textId="77777777" w:rsidR="00817197" w:rsidRPr="00817197" w:rsidRDefault="00817197" w:rsidP="00817197">
            <w:pPr>
              <w:pStyle w:val="CDITable-RowCentre"/>
            </w:pPr>
            <w:r w:rsidRPr="00817197">
              <w:t>463</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70E9A1A" w14:textId="77777777" w:rsidR="00817197" w:rsidRPr="00817197" w:rsidRDefault="00817197" w:rsidP="00817197">
            <w:pPr>
              <w:pStyle w:val="CDITable-RowCentre"/>
            </w:pPr>
            <w:r w:rsidRPr="00817197">
              <w:t>346</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63A9123" w14:textId="77777777" w:rsidR="00817197" w:rsidRPr="00817197" w:rsidRDefault="00817197" w:rsidP="00817197">
            <w:pPr>
              <w:pStyle w:val="CDITable-RowCentre"/>
            </w:pPr>
            <w:r w:rsidRPr="00817197">
              <w:t>926</w:t>
            </w:r>
          </w:p>
        </w:tc>
        <w:tc>
          <w:tcPr>
            <w:tcW w:w="1001"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FDEE6AC" w14:textId="77777777" w:rsidR="00817197" w:rsidRPr="00817197" w:rsidRDefault="00817197" w:rsidP="00817197">
            <w:pPr>
              <w:pStyle w:val="CDITable-RowCentre"/>
            </w:pPr>
            <w:r w:rsidRPr="00817197">
              <w:t>2,352</w:t>
            </w:r>
          </w:p>
        </w:tc>
        <w:tc>
          <w:tcPr>
            <w:tcW w:w="100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6544312B" w14:textId="77777777" w:rsidR="00817197" w:rsidRPr="00817197" w:rsidRDefault="00817197" w:rsidP="00817197">
            <w:pPr>
              <w:pStyle w:val="CDITable-RowCentre"/>
            </w:pPr>
            <w:r w:rsidRPr="00817197">
              <w:t>4,547</w:t>
            </w:r>
          </w:p>
        </w:tc>
      </w:tr>
      <w:tr w:rsidR="00817197" w:rsidRPr="00817197" w14:paraId="370D0435" w14:textId="77777777" w:rsidTr="00817197">
        <w:trPr>
          <w:divId w:val="935526654"/>
          <w:trHeight w:val="20"/>
        </w:trPr>
        <w:tc>
          <w:tcPr>
            <w:tcW w:w="1417" w:type="dxa"/>
            <w:vMerge/>
            <w:tcBorders>
              <w:top w:val="single" w:sz="8" w:space="0" w:color="033636" w:themeColor="text2"/>
              <w:bottom w:val="single" w:sz="8" w:space="0" w:color="033636" w:themeColor="text2"/>
            </w:tcBorders>
          </w:tcPr>
          <w:p w14:paraId="3BF0EAE3" w14:textId="77777777" w:rsidR="00817197" w:rsidRPr="00817197" w:rsidRDefault="00817197" w:rsidP="00817197"/>
        </w:tc>
        <w:tc>
          <w:tcPr>
            <w:tcW w:w="221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6FE2EE"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3617D7B" w14:textId="77777777" w:rsidR="00817197" w:rsidRPr="00817197" w:rsidRDefault="00817197" w:rsidP="00817197">
            <w:pPr>
              <w:pStyle w:val="CDITable-RowCentre"/>
            </w:pPr>
            <w:r w:rsidRPr="00817197">
              <w:t>16</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17BA49" w14:textId="77777777" w:rsidR="00817197" w:rsidRPr="00817197" w:rsidRDefault="00817197" w:rsidP="00817197">
            <w:pPr>
              <w:pStyle w:val="CDITable-RowCentre"/>
            </w:pPr>
            <w:r w:rsidRPr="00817197">
              <w:t>14</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F528438" w14:textId="77777777" w:rsidR="00817197" w:rsidRPr="00817197" w:rsidRDefault="00817197" w:rsidP="00817197">
            <w:pPr>
              <w:pStyle w:val="CDITable-RowCentre"/>
            </w:pPr>
            <w:r w:rsidRPr="00817197">
              <w:t>6</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BA7425E" w14:textId="77777777" w:rsidR="00817197" w:rsidRPr="00817197" w:rsidRDefault="00817197" w:rsidP="00817197">
            <w:pPr>
              <w:pStyle w:val="CDITable-RowCentre"/>
            </w:pPr>
            <w:r w:rsidRPr="00817197">
              <w:t>22</w:t>
            </w:r>
          </w:p>
        </w:tc>
        <w:tc>
          <w:tcPr>
            <w:tcW w:w="1001"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AA9EAE2" w14:textId="77777777" w:rsidR="00817197" w:rsidRPr="00817197" w:rsidRDefault="00817197" w:rsidP="00817197">
            <w:pPr>
              <w:pStyle w:val="CDITable-RowCentre"/>
            </w:pPr>
            <w:r w:rsidRPr="00817197">
              <w:t>66</w:t>
            </w:r>
          </w:p>
        </w:tc>
        <w:tc>
          <w:tcPr>
            <w:tcW w:w="100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A4DF08" w14:textId="77777777" w:rsidR="00817197" w:rsidRPr="00817197" w:rsidRDefault="00817197" w:rsidP="00817197">
            <w:pPr>
              <w:pStyle w:val="CDITable-RowCentre"/>
            </w:pPr>
            <w:r w:rsidRPr="00817197">
              <w:t>112</w:t>
            </w:r>
          </w:p>
        </w:tc>
      </w:tr>
      <w:tr w:rsidR="00817197" w:rsidRPr="00817197" w14:paraId="4214773A" w14:textId="77777777" w:rsidTr="00F611A2">
        <w:trPr>
          <w:divId w:val="935526654"/>
          <w:trHeight w:val="20"/>
        </w:trPr>
        <w:tc>
          <w:tcPr>
            <w:tcW w:w="1417" w:type="dxa"/>
            <w:vMerge/>
            <w:tcBorders>
              <w:top w:val="single" w:sz="8" w:space="0" w:color="033636" w:themeColor="text2"/>
              <w:bottom w:val="single" w:sz="8" w:space="0" w:color="033636" w:themeColor="text2"/>
            </w:tcBorders>
          </w:tcPr>
          <w:p w14:paraId="096737FA" w14:textId="77777777" w:rsidR="00817197" w:rsidRPr="00817197" w:rsidRDefault="00817197" w:rsidP="00817197"/>
        </w:tc>
        <w:tc>
          <w:tcPr>
            <w:tcW w:w="221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7DB39AD" w14:textId="77777777" w:rsidR="00817197" w:rsidRPr="00817197" w:rsidRDefault="00817197" w:rsidP="00817197">
            <w:pPr>
              <w:pStyle w:val="CDITable-RowLeft"/>
            </w:pPr>
            <w:r w:rsidRPr="00817197">
              <w:t>Test positivity rate (%)</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040831C" w14:textId="77777777" w:rsidR="00817197" w:rsidRPr="00817197" w:rsidRDefault="00817197" w:rsidP="00817197">
            <w:pPr>
              <w:pStyle w:val="CDITable-RowCentre"/>
            </w:pPr>
            <w:r w:rsidRPr="00817197">
              <w:t>5.1</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5F273CF" w14:textId="77777777" w:rsidR="00817197" w:rsidRPr="00817197" w:rsidRDefault="00817197" w:rsidP="00817197">
            <w:pPr>
              <w:pStyle w:val="CDITable-RowCentre"/>
            </w:pPr>
            <w:r w:rsidRPr="00817197">
              <w:t>3</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1518D3D" w14:textId="77777777" w:rsidR="00817197" w:rsidRPr="00817197" w:rsidRDefault="00817197" w:rsidP="00817197">
            <w:pPr>
              <w:pStyle w:val="CDITable-RowCentre"/>
            </w:pPr>
            <w:r w:rsidRPr="00817197">
              <w:t>1.7</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0A42A1E" w14:textId="77777777" w:rsidR="00817197" w:rsidRPr="00817197" w:rsidRDefault="00817197" w:rsidP="00817197">
            <w:pPr>
              <w:pStyle w:val="CDITable-RowCentre"/>
            </w:pPr>
            <w:r w:rsidRPr="00817197">
              <w:t>2.4</w:t>
            </w:r>
          </w:p>
        </w:tc>
        <w:tc>
          <w:tcPr>
            <w:tcW w:w="1001"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4F062EB" w14:textId="77777777" w:rsidR="00817197" w:rsidRPr="00817197" w:rsidRDefault="00817197" w:rsidP="00817197">
            <w:pPr>
              <w:pStyle w:val="CDITable-RowCentre"/>
            </w:pPr>
            <w:r w:rsidRPr="00817197">
              <w:t>2.8</w:t>
            </w:r>
          </w:p>
        </w:tc>
        <w:tc>
          <w:tcPr>
            <w:tcW w:w="100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50F96AF" w14:textId="77777777" w:rsidR="00817197" w:rsidRPr="00817197" w:rsidRDefault="00817197" w:rsidP="00817197">
            <w:pPr>
              <w:pStyle w:val="CDITable-RowCentre"/>
            </w:pPr>
            <w:r w:rsidRPr="00817197">
              <w:t>2.5</w:t>
            </w:r>
          </w:p>
        </w:tc>
      </w:tr>
      <w:tr w:rsidR="00F611A2" w:rsidRPr="00817197" w14:paraId="428273BD" w14:textId="77777777" w:rsidTr="00F611A2">
        <w:trPr>
          <w:divId w:val="935526654"/>
          <w:trHeight w:val="20"/>
        </w:trPr>
        <w:tc>
          <w:tcPr>
            <w:tcW w:w="1417"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62EBE62" w14:textId="77777777" w:rsidR="00817197" w:rsidRPr="00817197" w:rsidRDefault="00817197" w:rsidP="00817197">
            <w:pPr>
              <w:pStyle w:val="CDITable-TotalRowLeft"/>
            </w:pPr>
            <w:r w:rsidRPr="00817197">
              <w:t>Overall</w:t>
            </w:r>
          </w:p>
        </w:tc>
        <w:tc>
          <w:tcPr>
            <w:tcW w:w="2211"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A4A6A59" w14:textId="77777777" w:rsidR="00817197" w:rsidRPr="00817197" w:rsidRDefault="00817197" w:rsidP="00817197">
            <w:pPr>
              <w:pStyle w:val="CDITable-RowLeft"/>
            </w:pPr>
            <w:r w:rsidRPr="00817197">
              <w:t>Test counts (n)</w:t>
            </w:r>
          </w:p>
        </w:tc>
        <w:tc>
          <w:tcPr>
            <w:tcW w:w="1002"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3DED3BD" w14:textId="77777777" w:rsidR="00817197" w:rsidRPr="00817197" w:rsidRDefault="00817197" w:rsidP="00817197">
            <w:pPr>
              <w:pStyle w:val="CDITable-RowCentre"/>
            </w:pPr>
            <w:r w:rsidRPr="00817197">
              <w:t>1,684</w:t>
            </w:r>
          </w:p>
        </w:tc>
        <w:tc>
          <w:tcPr>
            <w:tcW w:w="1001"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66DD9B8" w14:textId="77777777" w:rsidR="00817197" w:rsidRPr="00817197" w:rsidRDefault="00817197" w:rsidP="00817197">
            <w:pPr>
              <w:pStyle w:val="CDITable-RowCentre"/>
            </w:pPr>
            <w:r w:rsidRPr="00817197">
              <w:t>2,633</w:t>
            </w:r>
          </w:p>
        </w:tc>
        <w:tc>
          <w:tcPr>
            <w:tcW w:w="1002"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F463C70" w14:textId="77777777" w:rsidR="00817197" w:rsidRPr="00817197" w:rsidRDefault="00817197" w:rsidP="00817197">
            <w:pPr>
              <w:pStyle w:val="CDITable-RowCentre"/>
            </w:pPr>
            <w:r w:rsidRPr="00817197">
              <w:t>1,963</w:t>
            </w:r>
          </w:p>
        </w:tc>
        <w:tc>
          <w:tcPr>
            <w:tcW w:w="1002"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489714C" w14:textId="77777777" w:rsidR="00817197" w:rsidRPr="00817197" w:rsidRDefault="00817197" w:rsidP="00817197">
            <w:pPr>
              <w:pStyle w:val="CDITable-RowCentre"/>
            </w:pPr>
            <w:r w:rsidRPr="00817197">
              <w:t>3,988</w:t>
            </w:r>
          </w:p>
        </w:tc>
        <w:tc>
          <w:tcPr>
            <w:tcW w:w="1001"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7CC5DEE" w14:textId="77777777" w:rsidR="00817197" w:rsidRPr="00817197" w:rsidRDefault="00817197" w:rsidP="00817197">
            <w:pPr>
              <w:pStyle w:val="CDITable-RowCentre"/>
            </w:pPr>
            <w:r w:rsidRPr="00817197">
              <w:t>8,459</w:t>
            </w:r>
          </w:p>
        </w:tc>
        <w:tc>
          <w:tcPr>
            <w:tcW w:w="1002" w:type="dxa"/>
            <w:tcBorders>
              <w:top w:val="single" w:sz="8"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63C4DD3" w14:textId="77777777" w:rsidR="00817197" w:rsidRPr="00817197" w:rsidRDefault="00817197" w:rsidP="00817197">
            <w:pPr>
              <w:pStyle w:val="CDITable-RowCentre"/>
            </w:pPr>
            <w:r w:rsidRPr="00817197">
              <w:t>14,219</w:t>
            </w:r>
          </w:p>
        </w:tc>
      </w:tr>
      <w:tr w:rsidR="000149DE" w:rsidRPr="00817197" w14:paraId="7343ABAD" w14:textId="77777777" w:rsidTr="00F611A2">
        <w:trPr>
          <w:divId w:val="935526654"/>
          <w:trHeight w:val="20"/>
        </w:trPr>
        <w:tc>
          <w:tcPr>
            <w:tcW w:w="1417" w:type="dxa"/>
            <w:vMerge/>
            <w:tcBorders>
              <w:bottom w:val="single" w:sz="8" w:space="0" w:color="033636" w:themeColor="text2"/>
            </w:tcBorders>
            <w:shd w:val="clear" w:color="auto" w:fill="C5FFEF" w:themeFill="background2" w:themeFillTint="33"/>
          </w:tcPr>
          <w:p w14:paraId="219EFC91" w14:textId="77777777" w:rsidR="00817197" w:rsidRPr="00817197" w:rsidRDefault="00817197" w:rsidP="00817197"/>
        </w:tc>
        <w:tc>
          <w:tcPr>
            <w:tcW w:w="221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B4C1785" w14:textId="77777777" w:rsidR="00817197" w:rsidRPr="00817197" w:rsidRDefault="00817197" w:rsidP="00817197">
            <w:pPr>
              <w:pStyle w:val="CDITable-RowLeft"/>
            </w:pPr>
            <w:r w:rsidRPr="00817197">
              <w:t>Test positive cases (n)</w:t>
            </w:r>
          </w:p>
        </w:tc>
        <w:tc>
          <w:tcPr>
            <w:tcW w:w="1002"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12F4924" w14:textId="77777777" w:rsidR="00817197" w:rsidRPr="00817197" w:rsidRDefault="00817197" w:rsidP="00817197">
            <w:pPr>
              <w:pStyle w:val="CDITable-RowCentre"/>
            </w:pPr>
            <w:r w:rsidRPr="00817197">
              <w:t>186</w:t>
            </w:r>
          </w:p>
        </w:tc>
        <w:tc>
          <w:tcPr>
            <w:tcW w:w="10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E15E5C8" w14:textId="77777777" w:rsidR="00817197" w:rsidRPr="00817197" w:rsidRDefault="00817197" w:rsidP="00817197">
            <w:pPr>
              <w:pStyle w:val="CDITable-RowCentre"/>
            </w:pPr>
            <w:r w:rsidRPr="00817197">
              <w:t>130</w:t>
            </w:r>
          </w:p>
        </w:tc>
        <w:tc>
          <w:tcPr>
            <w:tcW w:w="1002"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91D2596" w14:textId="77777777" w:rsidR="00817197" w:rsidRPr="00817197" w:rsidRDefault="00817197" w:rsidP="00817197">
            <w:pPr>
              <w:pStyle w:val="CDITable-RowCentre"/>
            </w:pPr>
            <w:r w:rsidRPr="00817197">
              <w:t>137</w:t>
            </w:r>
          </w:p>
        </w:tc>
        <w:tc>
          <w:tcPr>
            <w:tcW w:w="1002"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E37D61D" w14:textId="77777777" w:rsidR="00817197" w:rsidRPr="00817197" w:rsidRDefault="00817197" w:rsidP="00817197">
            <w:pPr>
              <w:pStyle w:val="CDITable-RowCentre"/>
            </w:pPr>
            <w:r w:rsidRPr="00817197">
              <w:t>199</w:t>
            </w:r>
          </w:p>
        </w:tc>
        <w:tc>
          <w:tcPr>
            <w:tcW w:w="10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F1E0295" w14:textId="77777777" w:rsidR="00817197" w:rsidRPr="00817197" w:rsidRDefault="00817197" w:rsidP="00817197">
            <w:pPr>
              <w:pStyle w:val="CDITable-RowCentre"/>
            </w:pPr>
            <w:r w:rsidRPr="00817197">
              <w:t>581</w:t>
            </w:r>
          </w:p>
        </w:tc>
        <w:tc>
          <w:tcPr>
            <w:tcW w:w="1002"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D55E51F" w14:textId="77777777" w:rsidR="00817197" w:rsidRPr="00817197" w:rsidRDefault="00817197" w:rsidP="00817197">
            <w:pPr>
              <w:pStyle w:val="CDITable-RowCentre"/>
            </w:pPr>
            <w:r w:rsidRPr="00817197">
              <w:t>639</w:t>
            </w:r>
          </w:p>
        </w:tc>
      </w:tr>
    </w:tbl>
    <w:p w14:paraId="45AFB2D6" w14:textId="77777777" w:rsidR="00F611A2" w:rsidRPr="000149DE" w:rsidRDefault="00F611A2" w:rsidP="000149DE">
      <w:r w:rsidRPr="000149DE">
        <w:br w:type="page"/>
      </w:r>
    </w:p>
    <w:p w14:paraId="1A139CE1" w14:textId="461E953F" w:rsidR="008A0736" w:rsidRDefault="008A0736" w:rsidP="00BA2598">
      <w:pPr>
        <w:pStyle w:val="Heading1"/>
        <w:divId w:val="935526654"/>
      </w:pPr>
      <w:r w:rsidRPr="00702D05">
        <w:lastRenderedPageBreak/>
        <w:t>Discussion</w:t>
      </w:r>
    </w:p>
    <w:p w14:paraId="3A7DD690" w14:textId="77777777" w:rsidR="00F611A2" w:rsidRPr="00F611A2" w:rsidRDefault="00F611A2" w:rsidP="00F611A2">
      <w:pPr>
        <w:divId w:val="935526654"/>
        <w:rPr>
          <w:lang w:val="en-GB"/>
        </w:rPr>
      </w:pPr>
      <w:r w:rsidRPr="00F611A2">
        <w:rPr>
          <w:lang w:val="en-GB"/>
        </w:rPr>
        <w:t xml:space="preserve">This study aimed to assess RSV testing patterns and the hospital burden of RSV in Central Queensland, revealing a substantial shift in RSV epidemiology over the 2018–2023 period. A key finding was the significantly higher RSV-related hospitalisations, particularly among infants and older adults, during the prospective study period (2022–2023). The number of RSV tests and subsequent number of positive results for all of Central Queensland was also substantially higher during this period; however, the test positive rate was lower in the prospective study period, a finding which may reflect changes in testing practices and/or potential under-reporting of RSV during the earlier retrospective study period (2018–2021). Infants under 12 months of age had the highest hospitalisation and test positive rates, yet they were tested the least compared to other age groups. </w:t>
      </w:r>
    </w:p>
    <w:p w14:paraId="089D1F44" w14:textId="77777777" w:rsidR="00F611A2" w:rsidRPr="00F611A2" w:rsidRDefault="00F611A2" w:rsidP="00F611A2">
      <w:pPr>
        <w:divId w:val="935526654"/>
        <w:rPr>
          <w:lang w:val="en-GB"/>
        </w:rPr>
      </w:pPr>
      <w:r w:rsidRPr="00F611A2">
        <w:rPr>
          <w:lang w:val="en-GB"/>
        </w:rPr>
        <w:t>This study observed a 190.2% increase in RSV hospital admissions in Central Queensland between 2018 and 2023. This finding is consistent with national trends observed in Australia, where RSV hospitalisations rose following reduced viral circulation during the COVID-19 pandemic.</w:t>
      </w:r>
      <w:r w:rsidRPr="00F611A2">
        <w:rPr>
          <w:vertAlign w:val="superscript"/>
          <w:lang w:val="en-GB"/>
        </w:rPr>
        <w:t>4</w:t>
      </w:r>
      <w:r w:rsidRPr="00F611A2">
        <w:rPr>
          <w:lang w:val="en-GB"/>
        </w:rPr>
        <w:t xml:space="preserve"> Similar increases were also reported in the United States of America, with a 166% rise in RSV-related hospitalisation rates among children.</w:t>
      </w:r>
      <w:r w:rsidRPr="00F611A2">
        <w:rPr>
          <w:vertAlign w:val="superscript"/>
          <w:lang w:val="en-GB"/>
        </w:rPr>
        <w:t>15</w:t>
      </w:r>
      <w:r w:rsidRPr="00F611A2">
        <w:rPr>
          <w:lang w:val="en-GB"/>
        </w:rPr>
        <w:t xml:space="preserve"> This widespread rise may be attributed to increased awareness driven by advocacy for RSV testing and improvements in diagnostic capabilities, including more widespread use of molecular testing for RSV in recent years. Furthermore, reduced population immunity resulting from decreased exposure during lockdowns and social distancing measures implemented during the COVID-19 pandemic likely contributed to the observed rise in hospitalisation rates.</w:t>
      </w:r>
      <w:r w:rsidRPr="00F611A2">
        <w:rPr>
          <w:vertAlign w:val="superscript"/>
          <w:lang w:val="en-GB"/>
        </w:rPr>
        <w:t>16</w:t>
      </w:r>
      <w:r w:rsidRPr="00F611A2">
        <w:rPr>
          <w:lang w:val="en-GB"/>
        </w:rPr>
        <w:t xml:space="preserve"> </w:t>
      </w:r>
    </w:p>
    <w:p w14:paraId="0EC53C16" w14:textId="77777777" w:rsidR="00F611A2" w:rsidRPr="00F611A2" w:rsidRDefault="00F611A2" w:rsidP="00F611A2">
      <w:pPr>
        <w:divId w:val="935526654"/>
        <w:rPr>
          <w:lang w:val="en-GB"/>
        </w:rPr>
      </w:pPr>
      <w:r w:rsidRPr="00F611A2">
        <w:rPr>
          <w:lang w:val="en-GB"/>
        </w:rPr>
        <w:t>Infants under 12 months had the highest RSV hospitalisation rate at 41.2 per 1,000 infants, consistent with a systematic review which reported that the highest risk of RSV-associated hospitalisation was in infants under six months of age.</w:t>
      </w:r>
      <w:r w:rsidRPr="00F611A2">
        <w:rPr>
          <w:vertAlign w:val="superscript"/>
          <w:lang w:val="en-GB"/>
        </w:rPr>
        <w:t>4</w:t>
      </w:r>
      <w:r w:rsidRPr="00F611A2">
        <w:rPr>
          <w:lang w:val="en-GB"/>
        </w:rPr>
        <w:t xml:space="preserve"> This age group is particularly vulnerable due to their immature immune systems, which can result in severe RSV infections.</w:t>
      </w:r>
      <w:r w:rsidRPr="00F611A2">
        <w:rPr>
          <w:vertAlign w:val="superscript"/>
          <w:lang w:val="en-GB"/>
        </w:rPr>
        <w:t>17</w:t>
      </w:r>
      <w:r w:rsidRPr="00F611A2">
        <w:rPr>
          <w:lang w:val="en-GB"/>
        </w:rPr>
        <w:t xml:space="preserve"> The 300% increase in RSV hospitalisation rates among older adults aged 60 years and above highlights the growing burden of RSV in this population, which is corroborated by other studies noting increased morbidity and mortality in older adults due to RSV.</w:t>
      </w:r>
      <w:r w:rsidRPr="00F611A2">
        <w:rPr>
          <w:vertAlign w:val="superscript"/>
          <w:lang w:val="en-GB"/>
        </w:rPr>
        <w:t>6,18</w:t>
      </w:r>
      <w:r w:rsidRPr="00F611A2">
        <w:rPr>
          <w:lang w:val="en-GB"/>
        </w:rPr>
        <w:t xml:space="preserve"> This increase may also reflect improved diagnostic capabilities and more widespread testing for RSV in recent years as well as potential under-reporting in the retrospective period. These findings highlight the urgent need for targeted RSV vaccination in both infants and older adults.</w:t>
      </w:r>
    </w:p>
    <w:p w14:paraId="3F9EDD4D" w14:textId="77777777" w:rsidR="00F611A2" w:rsidRPr="00F611A2" w:rsidRDefault="00F611A2" w:rsidP="00F611A2">
      <w:pPr>
        <w:divId w:val="935526654"/>
        <w:rPr>
          <w:lang w:val="en-GB"/>
        </w:rPr>
      </w:pPr>
      <w:r w:rsidRPr="00F611A2">
        <w:rPr>
          <w:lang w:val="en-GB"/>
        </w:rPr>
        <w:t>The overall increase in both RSV tests and positive cases during the prospective surveillance phase, along with a decline in the positivity rates, suggests that RSV burden may have been underestimated during the retrospective phase (2018–2021) due to low testing and diagnosis. Enhanced testing campaigns implemented as part of this study during the prospective period revealed a significant higher rate of RSV hospitalisations compared with the retrospective period, likely capturing milder cases that were previously not tested, thereby offering a more accurate reflection of the true burden of RSV. Globally, studies support the finding that active surveillance systems are more effective in accurately capturing the RSV burden as they increase testing rates and yield more precise hospitalisation data.</w:t>
      </w:r>
      <w:r w:rsidRPr="00F611A2">
        <w:rPr>
          <w:vertAlign w:val="superscript"/>
          <w:lang w:val="en-GB"/>
        </w:rPr>
        <w:t>19,20</w:t>
      </w:r>
      <w:r w:rsidRPr="00F611A2">
        <w:rPr>
          <w:lang w:val="en-GB"/>
        </w:rPr>
        <w:t xml:space="preserve"> These findings underscore the crucial role of enhanced RSV surveillance and changing RSV testing practices in facilitating earlier detection of RSV and to help prevent hospitalisations through early intervention.</w:t>
      </w:r>
    </w:p>
    <w:p w14:paraId="4C9CAD7C" w14:textId="77777777" w:rsidR="00F611A2" w:rsidRPr="00F611A2" w:rsidRDefault="00F611A2" w:rsidP="00F611A2">
      <w:pPr>
        <w:divId w:val="935526654"/>
        <w:rPr>
          <w:lang w:val="en-GB"/>
        </w:rPr>
      </w:pPr>
      <w:r w:rsidRPr="00F611A2">
        <w:rPr>
          <w:lang w:val="en-GB"/>
        </w:rPr>
        <w:t xml:space="preserve">Our analysis of testing patterns revealed an intriguing discrepancy: while infants under 12 months accounted for the lowest number of tests, they had the highest test positivity rate. This pattern may partially reflect the increased testing promotion efforts directed toward older age groups. Although testing may have been appropriately targeted to symptomatic infants, there could be under-testing in this high-risk </w:t>
      </w:r>
      <w:r w:rsidRPr="00F611A2">
        <w:rPr>
          <w:lang w:val="en-GB"/>
        </w:rPr>
        <w:lastRenderedPageBreak/>
        <w:t>group, particularly in those with milder symptoms who may have not been tested but could still be at significant risk. Infants may be diagnosed based on clinical presentation rather than laboratory confirmation, leading to fewer tests being conducted.</w:t>
      </w:r>
      <w:r w:rsidRPr="00F611A2">
        <w:rPr>
          <w:vertAlign w:val="superscript"/>
          <w:lang w:val="en-GB"/>
        </w:rPr>
        <w:t>21</w:t>
      </w:r>
      <w:r w:rsidRPr="00F611A2">
        <w:rPr>
          <w:lang w:val="en-GB"/>
        </w:rPr>
        <w:t xml:space="preserve"> These findings highlight the need for more targeted testing strategies to ensure that high-risk infants are appropriately tested, even in the absence of severe symptoms.</w:t>
      </w:r>
    </w:p>
    <w:p w14:paraId="31B85812" w14:textId="006C9057" w:rsidR="00F611A2" w:rsidRPr="00F611A2" w:rsidRDefault="00F611A2" w:rsidP="00F611A2">
      <w:pPr>
        <w:divId w:val="935526654"/>
        <w:rPr>
          <w:lang w:val="en-GB"/>
        </w:rPr>
      </w:pPr>
      <w:r w:rsidRPr="00F611A2">
        <w:rPr>
          <w:lang w:val="en-GB"/>
        </w:rPr>
        <w:t>There are several limitations to this study. The focus on a single region of Australia may limit the generalisability of the findings to other regions with different climates or population demographics. A major limitation is the difference between the two study periods, as testing practices were actively encouraged during the prospective period. The absence of multiplex PCR testing prior to 2020 in Central Queensland may have influenced the frequency of testing and case detection between the study periods. Additionally, the improved testing systems, along with the notifiable status of RSV in 2021, likely increased public awareness and testing during the latter period, contributing to the observed trends. The recent availability of vaccines and monoclonal antibodies may also have encouraged increased RSV testing and investigations in the latter period. Furthermore, the RSV testing data for this study were limited to a single pathology database, covering 58% of all RSV testing in the region. This limitation excludes data from other centres and may result in underreporting of RSV testing and cases within the region.</w:t>
      </w:r>
    </w:p>
    <w:p w14:paraId="38931190" w14:textId="5FEA0FDA" w:rsidR="008A0736" w:rsidRDefault="001020EE" w:rsidP="00AC7CD7">
      <w:pPr>
        <w:pStyle w:val="Heading1"/>
        <w:divId w:val="935526654"/>
      </w:pPr>
      <w:r>
        <w:t>Conclusion</w:t>
      </w:r>
      <w:r w:rsidR="00F611A2">
        <w:t>s</w:t>
      </w:r>
    </w:p>
    <w:p w14:paraId="0C19ACC9" w14:textId="77777777" w:rsidR="00F611A2" w:rsidRPr="00F611A2" w:rsidRDefault="00F611A2" w:rsidP="00F611A2">
      <w:pPr>
        <w:divId w:val="935526654"/>
        <w:rPr>
          <w:lang w:val="en-GB"/>
        </w:rPr>
      </w:pPr>
      <w:r w:rsidRPr="00F611A2">
        <w:rPr>
          <w:lang w:val="en-GB"/>
        </w:rPr>
        <w:t>This study provides valuable insights into epidemiology of RSV hospitalisations in regional Australia. The increase in the number of RSV-related hospitalisations, particularly among infants and older adults, calls for enhanced prevention strategies, including the roll out of RSV vaccines for all high risk groups.</w:t>
      </w:r>
      <w:r w:rsidRPr="00F611A2">
        <w:rPr>
          <w:vertAlign w:val="superscript"/>
          <w:lang w:val="en-GB"/>
        </w:rPr>
        <w:t>23,24</w:t>
      </w:r>
      <w:r w:rsidRPr="00F611A2">
        <w:rPr>
          <w:lang w:val="en-GB"/>
        </w:rPr>
        <w:t xml:space="preserve"> Furthermore, the discrepancy in testing rates among infants suggests a need for further investigation to ensure that all eligible infants, particularly those with respiratory symptoms, are being tested appropriately. Finally, improving awareness of RSV’s growing impact on infants and older adults will be essential for enhancing detection and management in these populations.</w:t>
      </w:r>
    </w:p>
    <w:p w14:paraId="7D15A0D8" w14:textId="28C6CA97" w:rsidR="00AC7CD7" w:rsidRDefault="00F611A2" w:rsidP="00F611A2">
      <w:pPr>
        <w:pStyle w:val="Heading2"/>
        <w:divId w:val="935526654"/>
      </w:pPr>
      <w:r>
        <w:t>Ethical considerations</w:t>
      </w:r>
    </w:p>
    <w:p w14:paraId="348376B2" w14:textId="77777777" w:rsidR="00F611A2" w:rsidRPr="00F611A2" w:rsidRDefault="00F611A2" w:rsidP="00F611A2">
      <w:pPr>
        <w:divId w:val="935526654"/>
        <w:rPr>
          <w:lang w:val="en-GB"/>
        </w:rPr>
      </w:pPr>
      <w:r w:rsidRPr="00F611A2">
        <w:rPr>
          <w:lang w:val="en-GB"/>
        </w:rPr>
        <w:t>This study involved the use of routinely collected surveillance data, with identifiers removed prior to analysis. Ethical approval was granted by the Central Queensland Hospital and Health Service Human Research Ethics Committee (HREC/2022/QCQ/84099).</w:t>
      </w:r>
    </w:p>
    <w:p w14:paraId="00DA72C5" w14:textId="3286FB92" w:rsidR="00F611A2" w:rsidRDefault="00F611A2" w:rsidP="00F611A2">
      <w:pPr>
        <w:pStyle w:val="Heading2"/>
        <w:divId w:val="935526654"/>
      </w:pPr>
      <w:r>
        <w:t>Funding</w:t>
      </w:r>
    </w:p>
    <w:p w14:paraId="62491273" w14:textId="2855BFEA" w:rsidR="00F611A2" w:rsidRDefault="00F611A2" w:rsidP="00F611A2">
      <w:pPr>
        <w:rPr>
          <w:lang w:val="en-GB"/>
        </w:rPr>
      </w:pPr>
      <w:r w:rsidRPr="00F611A2">
        <w:rPr>
          <w:lang w:val="en-GB"/>
        </w:rPr>
        <w:t>The authors acknowledge that this work was supported by Sanofi Pasteur S.A. (RSV00061).</w:t>
      </w:r>
      <w:r>
        <w:rPr>
          <w:lang w:val="en-GB"/>
        </w:rPr>
        <w:br w:type="page"/>
      </w:r>
    </w:p>
    <w:p w14:paraId="58A24A83" w14:textId="77777777" w:rsidR="008A0736" w:rsidRDefault="008A0736" w:rsidP="008A0736">
      <w:pPr>
        <w:pStyle w:val="Heading1"/>
        <w:divId w:val="935526654"/>
      </w:pPr>
      <w:r>
        <w:lastRenderedPageBreak/>
        <w:t>Author details</w:t>
      </w:r>
    </w:p>
    <w:p w14:paraId="327A52FE" w14:textId="77777777" w:rsidR="00F611A2" w:rsidRPr="00F611A2" w:rsidRDefault="00F611A2" w:rsidP="00F611A2">
      <w:pPr>
        <w:divId w:val="935526654"/>
        <w:rPr>
          <w:lang w:val="en-GB"/>
        </w:rPr>
      </w:pPr>
      <w:r w:rsidRPr="00F611A2">
        <w:rPr>
          <w:lang w:val="en-GB"/>
        </w:rPr>
        <w:t>Mahmudul Hassan Al Imam,</w:t>
      </w:r>
      <w:r w:rsidRPr="00F611A2">
        <w:rPr>
          <w:vertAlign w:val="superscript"/>
          <w:lang w:val="en-GB"/>
        </w:rPr>
        <w:t>1,2</w:t>
      </w:r>
    </w:p>
    <w:p w14:paraId="19CEA3DB" w14:textId="77777777" w:rsidR="00F611A2" w:rsidRPr="00F611A2" w:rsidRDefault="00F611A2" w:rsidP="00F611A2">
      <w:pPr>
        <w:pStyle w:val="Normal-lessspace"/>
        <w:divId w:val="935526654"/>
      </w:pPr>
      <w:r w:rsidRPr="00F611A2">
        <w:t>Reema Goswami,</w:t>
      </w:r>
      <w:r w:rsidRPr="00F611A2">
        <w:rPr>
          <w:vertAlign w:val="superscript"/>
        </w:rPr>
        <w:t>1</w:t>
      </w:r>
    </w:p>
    <w:p w14:paraId="2770CA46" w14:textId="77777777" w:rsidR="00F611A2" w:rsidRPr="00F611A2" w:rsidRDefault="00F611A2" w:rsidP="00F611A2">
      <w:pPr>
        <w:pStyle w:val="Normal-lessspace"/>
        <w:divId w:val="935526654"/>
      </w:pPr>
      <w:r w:rsidRPr="00F611A2">
        <w:t>Caitlyn Bolck,</w:t>
      </w:r>
      <w:r w:rsidRPr="00F611A2">
        <w:rPr>
          <w:vertAlign w:val="superscript"/>
        </w:rPr>
        <w:t>3</w:t>
      </w:r>
    </w:p>
    <w:p w14:paraId="2D0C9E5F" w14:textId="77777777" w:rsidR="00F611A2" w:rsidRPr="00F611A2" w:rsidRDefault="00F611A2" w:rsidP="00F611A2">
      <w:pPr>
        <w:pStyle w:val="Normal-lessspace"/>
        <w:divId w:val="935526654"/>
      </w:pPr>
      <w:r w:rsidRPr="00F611A2">
        <w:t>Jacina Walker,</w:t>
      </w:r>
      <w:r w:rsidRPr="00F611A2">
        <w:rPr>
          <w:vertAlign w:val="superscript"/>
        </w:rPr>
        <w:t>1</w:t>
      </w:r>
    </w:p>
    <w:p w14:paraId="58246C2A" w14:textId="77777777" w:rsidR="00F611A2" w:rsidRPr="00F611A2" w:rsidRDefault="00F611A2" w:rsidP="00F611A2">
      <w:pPr>
        <w:pStyle w:val="Normal-lessspace"/>
        <w:divId w:val="935526654"/>
      </w:pPr>
      <w:r w:rsidRPr="00F611A2">
        <w:t>Michael Kirk,</w:t>
      </w:r>
      <w:r w:rsidRPr="00F611A2">
        <w:rPr>
          <w:vertAlign w:val="superscript"/>
        </w:rPr>
        <w:t>5</w:t>
      </w:r>
    </w:p>
    <w:p w14:paraId="0856764E" w14:textId="77777777" w:rsidR="00F611A2" w:rsidRPr="00F611A2" w:rsidRDefault="00F611A2" w:rsidP="00F611A2">
      <w:pPr>
        <w:pStyle w:val="Normal-lessspace"/>
        <w:divId w:val="935526654"/>
      </w:pPr>
      <w:r w:rsidRPr="00F611A2">
        <w:t>Robert Menzies,</w:t>
      </w:r>
      <w:r w:rsidRPr="00F611A2">
        <w:rPr>
          <w:vertAlign w:val="superscript"/>
        </w:rPr>
        <w:t>6</w:t>
      </w:r>
    </w:p>
    <w:p w14:paraId="78054927" w14:textId="77777777" w:rsidR="00F611A2" w:rsidRPr="00F611A2" w:rsidRDefault="00F611A2" w:rsidP="00F611A2">
      <w:pPr>
        <w:pStyle w:val="Normal-lessspace"/>
        <w:divId w:val="935526654"/>
      </w:pPr>
      <w:r w:rsidRPr="00F611A2">
        <w:t>Gulam Khandaker</w:t>
      </w:r>
      <w:r w:rsidRPr="005A3253">
        <w:rPr>
          <w:vertAlign w:val="superscript"/>
        </w:rPr>
        <w:t>1,</w:t>
      </w:r>
      <w:r w:rsidRPr="00F611A2">
        <w:rPr>
          <w:vertAlign w:val="superscript"/>
        </w:rPr>
        <w:t>7,8</w:t>
      </w:r>
    </w:p>
    <w:p w14:paraId="7DD44D8F" w14:textId="77777777" w:rsidR="00F611A2" w:rsidRPr="00F611A2" w:rsidRDefault="00F611A2" w:rsidP="00F611A2">
      <w:pPr>
        <w:pStyle w:val="CDINumberedList1-L1"/>
        <w:divId w:val="935526654"/>
      </w:pPr>
      <w:r w:rsidRPr="00F611A2">
        <w:t>Central Queensland Public Health Unit, Central Queensland Hospital and Health Service, Rockhampton.</w:t>
      </w:r>
    </w:p>
    <w:p w14:paraId="54B05278" w14:textId="77777777" w:rsidR="00F611A2" w:rsidRPr="00F611A2" w:rsidRDefault="00F611A2" w:rsidP="00F611A2">
      <w:pPr>
        <w:pStyle w:val="CDINumberedList1-L1"/>
        <w:divId w:val="935526654"/>
      </w:pPr>
      <w:r w:rsidRPr="00F611A2">
        <w:t>School of Health, Medical and Applied Sciences, Central Queensland University, Rockhampton.</w:t>
      </w:r>
    </w:p>
    <w:p w14:paraId="0B58B89D" w14:textId="77777777" w:rsidR="00F611A2" w:rsidRPr="00F611A2" w:rsidRDefault="00F611A2" w:rsidP="00F611A2">
      <w:pPr>
        <w:pStyle w:val="CDINumberedList1-L1"/>
        <w:divId w:val="935526654"/>
      </w:pPr>
      <w:r w:rsidRPr="00F611A2">
        <w:t>Pharmacy Department, Rockhampton Hospital, Central Queensland Hospital and Health Service, Rockhampton.</w:t>
      </w:r>
    </w:p>
    <w:p w14:paraId="65AF0B8A" w14:textId="77777777" w:rsidR="00F611A2" w:rsidRPr="00F611A2" w:rsidRDefault="00F611A2" w:rsidP="00F611A2">
      <w:pPr>
        <w:pStyle w:val="CDINumberedList1-L1"/>
        <w:divId w:val="935526654"/>
      </w:pPr>
      <w:r w:rsidRPr="00F611A2">
        <w:t>Department of Paediatrics, Rockhampton Hospital, Central Queensland Hospital and Health Service, Rockhampton.</w:t>
      </w:r>
    </w:p>
    <w:p w14:paraId="075AA94B" w14:textId="77777777" w:rsidR="00F611A2" w:rsidRPr="00F611A2" w:rsidRDefault="00F611A2" w:rsidP="00F611A2">
      <w:pPr>
        <w:pStyle w:val="CDINumberedList1-L1"/>
        <w:divId w:val="935526654"/>
      </w:pPr>
      <w:r w:rsidRPr="00F611A2">
        <w:t>Rockhampton, Capricorn Coast and Mount Morgan Business Unit, Central Queensland Hospital and Health Service, Rockhampton.</w:t>
      </w:r>
    </w:p>
    <w:p w14:paraId="3C1D54E6" w14:textId="77777777" w:rsidR="00F611A2" w:rsidRPr="00F611A2" w:rsidRDefault="00F611A2" w:rsidP="00F611A2">
      <w:pPr>
        <w:pStyle w:val="CDINumberedList1-L1"/>
        <w:divId w:val="935526654"/>
      </w:pPr>
      <w:r w:rsidRPr="00F611A2">
        <w:t>Research Division, Sanofi, Macquarie Park.</w:t>
      </w:r>
    </w:p>
    <w:p w14:paraId="4C4ECD4D" w14:textId="77777777" w:rsidR="00F611A2" w:rsidRPr="00F611A2" w:rsidRDefault="00F611A2" w:rsidP="00F611A2">
      <w:pPr>
        <w:pStyle w:val="CDINumberedList1-L1"/>
        <w:divId w:val="935526654"/>
      </w:pPr>
      <w:r w:rsidRPr="00F611A2">
        <w:t>Research Division, Central Queensland University, Rockhampton.</w:t>
      </w:r>
    </w:p>
    <w:p w14:paraId="0626E356" w14:textId="77777777" w:rsidR="00F611A2" w:rsidRPr="00F611A2" w:rsidRDefault="00F611A2" w:rsidP="00F611A2">
      <w:pPr>
        <w:pStyle w:val="CDINumberedList1-L1"/>
        <w:divId w:val="935526654"/>
      </w:pPr>
      <w:r w:rsidRPr="00F611A2">
        <w:t>Discipline of Child and Adolescent Health, Sydney Medical School, The University of Sydney, Camperdown.</w:t>
      </w:r>
    </w:p>
    <w:p w14:paraId="68C3B967" w14:textId="77777777" w:rsidR="00AC7CD7" w:rsidRDefault="00AC7CD7" w:rsidP="00AC7CD7">
      <w:pPr>
        <w:pStyle w:val="Authordetails"/>
        <w:divId w:val="935526654"/>
      </w:pPr>
      <w:r>
        <w:t>Corresponding author</w:t>
      </w:r>
    </w:p>
    <w:p w14:paraId="75DDF6DE" w14:textId="77777777" w:rsidR="00F611A2" w:rsidRPr="00F611A2" w:rsidRDefault="00F611A2" w:rsidP="00F611A2">
      <w:pPr>
        <w:divId w:val="935526654"/>
        <w:rPr>
          <w:lang w:val="en-GB"/>
        </w:rPr>
      </w:pPr>
      <w:r w:rsidRPr="00F611A2">
        <w:rPr>
          <w:lang w:val="en-GB"/>
        </w:rPr>
        <w:t>Professor Gulam Khandaker</w:t>
      </w:r>
    </w:p>
    <w:p w14:paraId="5F549C68" w14:textId="77777777" w:rsidR="00F611A2" w:rsidRPr="00F611A2" w:rsidRDefault="00F611A2" w:rsidP="00F611A2">
      <w:pPr>
        <w:pStyle w:val="Normal-lessspace"/>
        <w:divId w:val="935526654"/>
      </w:pPr>
      <w:r w:rsidRPr="00F611A2">
        <w:t>Central Queensland Public Health Unit, Central Queensland Hospital and Health Service, Rockhampton</w:t>
      </w:r>
    </w:p>
    <w:p w14:paraId="4C012210" w14:textId="77777777" w:rsidR="00F611A2" w:rsidRPr="00F611A2" w:rsidRDefault="00F611A2" w:rsidP="00F611A2">
      <w:pPr>
        <w:pStyle w:val="Normal-lessspace"/>
        <w:divId w:val="935526654"/>
      </w:pPr>
      <w:r w:rsidRPr="00F611A2">
        <w:t>Phone: +61 7 4920 6948</w:t>
      </w:r>
    </w:p>
    <w:p w14:paraId="738ACC92" w14:textId="4FA0DF3D" w:rsidR="008A0736" w:rsidRPr="007A2D74" w:rsidRDefault="00F611A2" w:rsidP="00F611A2">
      <w:pPr>
        <w:pStyle w:val="Normal-lessspace"/>
        <w:divId w:val="935526654"/>
      </w:pPr>
      <w:r w:rsidRPr="00F611A2">
        <w:t xml:space="preserve">Email: </w:t>
      </w:r>
      <w:hyperlink r:id="rId16" w:history="1">
        <w:r w:rsidRPr="004C61D2">
          <w:rPr>
            <w:rStyle w:val="Hyperlink"/>
          </w:rPr>
          <w:t>Gulam.Khandaker@health.qld.gov.au</w:t>
        </w:r>
      </w:hyperlink>
      <w:r>
        <w:t xml:space="preserve"> </w:t>
      </w:r>
      <w:r w:rsidR="008A0736" w:rsidRPr="007A2D74">
        <w:br w:type="page"/>
      </w:r>
    </w:p>
    <w:p w14:paraId="2ED6F8E6" w14:textId="77777777" w:rsidR="008A0736" w:rsidRDefault="008A0736" w:rsidP="00122ADA">
      <w:pPr>
        <w:pStyle w:val="Heading1"/>
        <w:divId w:val="935526654"/>
      </w:pPr>
      <w:r>
        <w:lastRenderedPageBreak/>
        <w:t>References</w:t>
      </w:r>
    </w:p>
    <w:p w14:paraId="17C97C07" w14:textId="295635E4" w:rsidR="00F611A2" w:rsidRPr="00F611A2" w:rsidRDefault="00F611A2" w:rsidP="000149DE">
      <w:pPr>
        <w:pStyle w:val="CDINumberedList1-L1"/>
        <w:numPr>
          <w:ilvl w:val="0"/>
          <w:numId w:val="34"/>
        </w:numPr>
        <w:divId w:val="935526654"/>
      </w:pPr>
      <w:r w:rsidRPr="00F611A2">
        <w:t xml:space="preserve">Shi T, McAllister DA, O’Brien KL, Simoes EAF, Madhi SA, Gessner BD et al. Global, regional, and national disease burden estimates of acute lower respiratory infections due to respiratory syncytial virus in young children in 2015: a systematic review and modelling study. </w:t>
      </w:r>
      <w:r w:rsidRPr="000149DE">
        <w:rPr>
          <w:i/>
          <w:iCs/>
        </w:rPr>
        <w:t>Lancet</w:t>
      </w:r>
      <w:r w:rsidRPr="00F611A2">
        <w:t xml:space="preserve">. 2017;390(10098):946–58. doi: </w:t>
      </w:r>
      <w:hyperlink r:id="rId17" w:history="1">
        <w:r w:rsidRPr="004C61D2">
          <w:rPr>
            <w:rStyle w:val="Hyperlink"/>
          </w:rPr>
          <w:t>https://doi.org/10.1016/S0140-6736(17)30938-8</w:t>
        </w:r>
      </w:hyperlink>
      <w:r w:rsidRPr="00F611A2">
        <w:t>.</w:t>
      </w:r>
    </w:p>
    <w:p w14:paraId="27A7D7DC" w14:textId="5086BE4A" w:rsidR="00F611A2" w:rsidRPr="00F611A2" w:rsidRDefault="00F611A2" w:rsidP="000149DE">
      <w:pPr>
        <w:pStyle w:val="CDINumberedList1-L1lessspace"/>
        <w:divId w:val="935526654"/>
      </w:pPr>
      <w:r w:rsidRPr="00F611A2">
        <w:t xml:space="preserve">McLaughlin JM, Khan F, Begier E, Swerdlow DL, Jodar L, Falsey AR. Rates of medically attended RSV among US adults: a systematic review and meta-analysis. </w:t>
      </w:r>
      <w:r w:rsidRPr="00F611A2">
        <w:rPr>
          <w:i/>
          <w:iCs/>
        </w:rPr>
        <w:t>Open Forum Infect Dis</w:t>
      </w:r>
      <w:r w:rsidRPr="00F611A2">
        <w:t xml:space="preserve">. 2022;9(7):ofac300. doi: </w:t>
      </w:r>
      <w:hyperlink r:id="rId18" w:history="1">
        <w:r w:rsidRPr="004C61D2">
          <w:rPr>
            <w:rStyle w:val="Hyperlink"/>
          </w:rPr>
          <w:t>https://doi.org/10.1093/ofid/ofac300</w:t>
        </w:r>
      </w:hyperlink>
      <w:r w:rsidRPr="00F611A2">
        <w:t>.</w:t>
      </w:r>
    </w:p>
    <w:p w14:paraId="6D10D90D" w14:textId="07F36063" w:rsidR="00F611A2" w:rsidRPr="00F611A2" w:rsidRDefault="00F611A2" w:rsidP="000149DE">
      <w:pPr>
        <w:pStyle w:val="CDINumberedList1-L1lessspace"/>
        <w:divId w:val="935526654"/>
      </w:pPr>
      <w:r w:rsidRPr="00F611A2">
        <w:t xml:space="preserve">Modjarrad K, Giersing B, Kaslow DC, Smith PG, Moorthy VS. WHO consultation on respiratory syncytial virus vaccine development report from a World Health Organization meeting held on 23–24 March 2015. </w:t>
      </w:r>
      <w:r w:rsidRPr="00F611A2">
        <w:rPr>
          <w:i/>
          <w:iCs/>
        </w:rPr>
        <w:t>Vaccine</w:t>
      </w:r>
      <w:r w:rsidRPr="00F611A2">
        <w:t xml:space="preserve">. 2016;34(2):190–7. doi: </w:t>
      </w:r>
      <w:hyperlink r:id="rId19" w:history="1">
        <w:r w:rsidRPr="004C61D2">
          <w:rPr>
            <w:rStyle w:val="Hyperlink"/>
          </w:rPr>
          <w:t>https://doi.org/10.1016/j.vaccine.2015.05.093</w:t>
        </w:r>
      </w:hyperlink>
      <w:r w:rsidRPr="00F611A2">
        <w:t>.</w:t>
      </w:r>
    </w:p>
    <w:p w14:paraId="3A63C886" w14:textId="11196947" w:rsidR="00F611A2" w:rsidRPr="00F611A2" w:rsidRDefault="00F611A2" w:rsidP="000149DE">
      <w:pPr>
        <w:pStyle w:val="CDINumberedList1-L1lessspace"/>
        <w:divId w:val="935526654"/>
      </w:pPr>
      <w:r w:rsidRPr="00F611A2">
        <w:t xml:space="preserve">Self A, Van Buskirk J, Clark J, Cochrane JE, Knibbs L, Cass-Verco J et al. Respiratory syncytial virus disease morbidity in Australian infants aged 0 to 6 months: a systematic review with narrative synthesis. </w:t>
      </w:r>
      <w:r w:rsidRPr="00F611A2">
        <w:rPr>
          <w:i/>
          <w:iCs/>
        </w:rPr>
        <w:t>BMC Public Health</w:t>
      </w:r>
      <w:r w:rsidRPr="00F611A2">
        <w:t xml:space="preserve">. 2023;23(1):2560. doi: </w:t>
      </w:r>
      <w:hyperlink r:id="rId20" w:history="1">
        <w:r w:rsidRPr="004C61D2">
          <w:rPr>
            <w:rStyle w:val="Hyperlink"/>
          </w:rPr>
          <w:t>https://doi.org/10.1186/s12889-023-17474-x</w:t>
        </w:r>
      </w:hyperlink>
      <w:r w:rsidRPr="00F611A2">
        <w:t>.</w:t>
      </w:r>
    </w:p>
    <w:p w14:paraId="21109FD0" w14:textId="621883F4" w:rsidR="00F611A2" w:rsidRPr="00F611A2" w:rsidRDefault="00F611A2" w:rsidP="000149DE">
      <w:pPr>
        <w:pStyle w:val="CDINumberedList1-L1lessspace"/>
        <w:divId w:val="935526654"/>
      </w:pPr>
      <w:r w:rsidRPr="00F611A2">
        <w:t xml:space="preserve">Gebremedhin AT, Hogan AB, Blyth CC, Glass K, Moore HC. Developing a prediction model to estimate the true burden of respiratory syncytial virus (RSV) in hospitalised children in Western Australia. </w:t>
      </w:r>
      <w:r w:rsidRPr="00F611A2">
        <w:rPr>
          <w:i/>
          <w:iCs/>
        </w:rPr>
        <w:t>Sci Rep</w:t>
      </w:r>
      <w:r w:rsidRPr="00F611A2">
        <w:t xml:space="preserve">. 2022;12(1):332. doi: </w:t>
      </w:r>
      <w:hyperlink r:id="rId21" w:history="1">
        <w:r w:rsidRPr="004C61D2">
          <w:rPr>
            <w:rStyle w:val="Hyperlink"/>
          </w:rPr>
          <w:t>https://doi.org/10.1038/s41598-021-04080-3</w:t>
        </w:r>
      </w:hyperlink>
      <w:r w:rsidRPr="00F611A2">
        <w:t>.</w:t>
      </w:r>
    </w:p>
    <w:p w14:paraId="15CFADF4" w14:textId="41F9A7ED" w:rsidR="00F611A2" w:rsidRPr="00F611A2" w:rsidRDefault="00F611A2" w:rsidP="000149DE">
      <w:pPr>
        <w:pStyle w:val="CDINumberedList1-L1lessspace"/>
        <w:divId w:val="935526654"/>
      </w:pPr>
      <w:r w:rsidRPr="00F611A2">
        <w:t xml:space="preserve">Saravanos GL, Sheel M, Homaira N, Dey A, Brown E, Wang H et al. Respiratory syncytial virus-associated hospitalisations in Australia, 2006–2015. </w:t>
      </w:r>
      <w:r w:rsidRPr="00F611A2">
        <w:rPr>
          <w:i/>
          <w:iCs/>
        </w:rPr>
        <w:t>Med J Aust</w:t>
      </w:r>
      <w:r w:rsidRPr="00F611A2">
        <w:t>. 2019;210(10):447–53. doi:</w:t>
      </w:r>
      <w:r>
        <w:t> </w:t>
      </w:r>
      <w:hyperlink r:id="rId22" w:history="1">
        <w:r w:rsidRPr="004C61D2">
          <w:rPr>
            <w:rStyle w:val="Hyperlink"/>
          </w:rPr>
          <w:t>https://doi.org/10.5694/mja2.50159</w:t>
        </w:r>
      </w:hyperlink>
      <w:r w:rsidRPr="00F611A2">
        <w:t>.</w:t>
      </w:r>
    </w:p>
    <w:p w14:paraId="5B5136BE" w14:textId="25D40B82" w:rsidR="00F611A2" w:rsidRPr="00F611A2" w:rsidRDefault="00F611A2" w:rsidP="000149DE">
      <w:pPr>
        <w:pStyle w:val="CDINumberedList1-L1lessspace"/>
        <w:divId w:val="935526654"/>
      </w:pPr>
      <w:r w:rsidRPr="00F611A2">
        <w:t xml:space="preserve">Makari D, Staat MA, Henrickson KJ, Wu X, Ambrose CS. The underrecognized burden of respiratory syncytial virus among infants presenting to US emergency departments. </w:t>
      </w:r>
      <w:r w:rsidRPr="00F611A2">
        <w:rPr>
          <w:i/>
          <w:iCs/>
        </w:rPr>
        <w:t>Clin Pediatr (Phila)</w:t>
      </w:r>
      <w:r w:rsidRPr="00F611A2">
        <w:t xml:space="preserve">. 2015;54(6):594–7. doi: </w:t>
      </w:r>
      <w:hyperlink r:id="rId23" w:history="1">
        <w:r w:rsidRPr="004C61D2">
          <w:rPr>
            <w:rStyle w:val="Hyperlink"/>
          </w:rPr>
          <w:t>https://doi.org/10.1177/0009922814546040</w:t>
        </w:r>
      </w:hyperlink>
      <w:r w:rsidRPr="00F611A2">
        <w:t>.</w:t>
      </w:r>
    </w:p>
    <w:p w14:paraId="55ADED57" w14:textId="0243D158" w:rsidR="00F611A2" w:rsidRPr="00F611A2" w:rsidRDefault="00F611A2" w:rsidP="000149DE">
      <w:pPr>
        <w:pStyle w:val="CDINumberedList1-L1lessspace"/>
        <w:divId w:val="935526654"/>
      </w:pPr>
      <w:r w:rsidRPr="00F611A2">
        <w:t xml:space="preserve">Rozenbaum MH, Judy J, Tran D, Yacisin K, Kurosky SK, Begier E. Low levels of RSV testing among adults hospitalized for lower respiratory tract infection in the United States. </w:t>
      </w:r>
      <w:r w:rsidRPr="00F611A2">
        <w:rPr>
          <w:i/>
          <w:iCs/>
        </w:rPr>
        <w:t>Infect Dis Ther</w:t>
      </w:r>
      <w:r w:rsidRPr="00F611A2">
        <w:t xml:space="preserve">. 2023;12(2):677–85. doi: </w:t>
      </w:r>
      <w:hyperlink r:id="rId24" w:history="1">
        <w:r w:rsidRPr="004C61D2">
          <w:rPr>
            <w:rStyle w:val="Hyperlink"/>
          </w:rPr>
          <w:t>https://doi.org/10.1007/s40121-023-00758-5</w:t>
        </w:r>
      </w:hyperlink>
      <w:r w:rsidRPr="00F611A2">
        <w:t>.</w:t>
      </w:r>
    </w:p>
    <w:p w14:paraId="0C77060A" w14:textId="07F05CF6" w:rsidR="00F611A2" w:rsidRPr="00F611A2" w:rsidRDefault="00F611A2" w:rsidP="000149DE">
      <w:pPr>
        <w:pStyle w:val="CDINumberedList1-L1lessspace"/>
        <w:divId w:val="935526654"/>
      </w:pPr>
      <w:r w:rsidRPr="00F611A2">
        <w:t xml:space="preserve">Egeskov-Cavling AM, Johannesen CK, Lindegaard B, Fischer TK, PROMISE Investigators. Underreporting and misclassification of respiratory syncytial virus–coded hospitalization among adults in Denmark between 2015–2016 and 2017–2018. </w:t>
      </w:r>
      <w:r w:rsidRPr="00F611A2">
        <w:rPr>
          <w:i/>
          <w:iCs/>
        </w:rPr>
        <w:t>J Infect Dis</w:t>
      </w:r>
      <w:r w:rsidRPr="00F611A2">
        <w:t>. 2023;229(Supplement_1):S78–83. doi:</w:t>
      </w:r>
      <w:r>
        <w:t> </w:t>
      </w:r>
      <w:hyperlink r:id="rId25" w:history="1">
        <w:r w:rsidRPr="004C61D2">
          <w:rPr>
            <w:rStyle w:val="Hyperlink"/>
          </w:rPr>
          <w:t>https://doi.org/10.1093/infdis/jiad415</w:t>
        </w:r>
      </w:hyperlink>
      <w:r w:rsidRPr="00F611A2">
        <w:t>.</w:t>
      </w:r>
    </w:p>
    <w:p w14:paraId="4D2F6288" w14:textId="0B02CC70" w:rsidR="00F611A2" w:rsidRPr="00F611A2" w:rsidRDefault="00F611A2" w:rsidP="000149DE">
      <w:pPr>
        <w:pStyle w:val="CDINumberedList1-L1lessspace"/>
        <w:divId w:val="935526654"/>
      </w:pPr>
      <w:r w:rsidRPr="00F611A2">
        <w:t xml:space="preserve">Gale E, Smoll N, Al Imam MH, Walker J, Kirk M, Pam S et al. Epidemiology of respiratory syncytial virus in Central Queensland, Australia. </w:t>
      </w:r>
      <w:r w:rsidRPr="00F611A2">
        <w:rPr>
          <w:i/>
          <w:iCs/>
        </w:rPr>
        <w:t>Commun Dis Intell (2018)</w:t>
      </w:r>
      <w:r w:rsidRPr="00F611A2">
        <w:t>. 2024;48. doi:</w:t>
      </w:r>
      <w:r>
        <w:t> </w:t>
      </w:r>
      <w:hyperlink r:id="rId26" w:history="1">
        <w:r w:rsidRPr="004C61D2">
          <w:rPr>
            <w:rStyle w:val="Hyperlink"/>
          </w:rPr>
          <w:t>https://doi.org/10.33321/cdi.2024.48.45</w:t>
        </w:r>
      </w:hyperlink>
      <w:r w:rsidRPr="00F611A2">
        <w:t>.</w:t>
      </w:r>
    </w:p>
    <w:p w14:paraId="2DE3DE63" w14:textId="4920ED08" w:rsidR="00F611A2" w:rsidRPr="00F611A2" w:rsidRDefault="00F611A2" w:rsidP="000149DE">
      <w:pPr>
        <w:pStyle w:val="CDINumberedList1-L1lessspace"/>
        <w:divId w:val="935526654"/>
      </w:pPr>
      <w:r w:rsidRPr="00F611A2">
        <w:t xml:space="preserve">Queensland Government Department of Environment and Science. </w:t>
      </w:r>
      <w:r w:rsidRPr="00F611A2">
        <w:rPr>
          <w:i/>
          <w:iCs/>
        </w:rPr>
        <w:t>Climate change in the Central Queensland region, version 1</w:t>
      </w:r>
      <w:r w:rsidRPr="00F611A2">
        <w:t xml:space="preserve">. Brisbane: Queensland Government; 2019. Available from: </w:t>
      </w:r>
      <w:hyperlink r:id="rId27" w:history="1">
        <w:r w:rsidRPr="004C61D2">
          <w:rPr>
            <w:rStyle w:val="Hyperlink"/>
          </w:rPr>
          <w:t>https://www.qld.gov.au/__data/assets/pdf_file/0020/68141/central-qld-climate-change-impact-summary.pdf</w:t>
        </w:r>
      </w:hyperlink>
      <w:r w:rsidRPr="00F611A2">
        <w:t>.</w:t>
      </w:r>
    </w:p>
    <w:p w14:paraId="19D753C9" w14:textId="698ABDF7" w:rsidR="00F611A2" w:rsidRPr="00F611A2" w:rsidRDefault="00F611A2" w:rsidP="000149DE">
      <w:pPr>
        <w:pStyle w:val="CDINumberedList1-L1lessspace"/>
        <w:divId w:val="935526654"/>
      </w:pPr>
      <w:r w:rsidRPr="00F611A2">
        <w:t xml:space="preserve">Queensland Government Statistician’s Office. Queensland Regional Profiles. [Webpage.] Brisbane: Queensland Government Treasury; 2024. Available from: </w:t>
      </w:r>
      <w:hyperlink r:id="rId28" w:history="1">
        <w:r w:rsidRPr="004C61D2">
          <w:rPr>
            <w:rStyle w:val="Hyperlink"/>
          </w:rPr>
          <w:t>https://statistics.qgso.qld.gov.au/qld-regional-profiles</w:t>
        </w:r>
      </w:hyperlink>
      <w:r w:rsidRPr="00F611A2">
        <w:t>.</w:t>
      </w:r>
    </w:p>
    <w:p w14:paraId="74B5F4FF" w14:textId="187F9805" w:rsidR="00F611A2" w:rsidRPr="00F611A2" w:rsidRDefault="00F611A2" w:rsidP="000149DE">
      <w:pPr>
        <w:pStyle w:val="CDINumberedList1-L1lessspace"/>
        <w:divId w:val="935526654"/>
      </w:pPr>
      <w:r w:rsidRPr="00F611A2">
        <w:lastRenderedPageBreak/>
        <w:t xml:space="preserve">Queensland Government Department of Health (Queensland Health). About us: Learn about our role in delivering world class health care to people in Central Queensland. [Webpage.] Brisbane: Queensland Health; May 2024. Available from: </w:t>
      </w:r>
      <w:hyperlink r:id="rId29" w:history="1">
        <w:r w:rsidRPr="004C61D2">
          <w:rPr>
            <w:rStyle w:val="Hyperlink"/>
          </w:rPr>
          <w:t>https://www.cq.health.qld.gov.au/about-us</w:t>
        </w:r>
      </w:hyperlink>
      <w:r w:rsidRPr="00F611A2">
        <w:t>.</w:t>
      </w:r>
    </w:p>
    <w:p w14:paraId="0384D692" w14:textId="2B3C13F9" w:rsidR="00F611A2" w:rsidRPr="00F611A2" w:rsidRDefault="00F611A2" w:rsidP="000149DE">
      <w:pPr>
        <w:pStyle w:val="CDINumberedList1-L1lessspace"/>
        <w:divId w:val="935526654"/>
      </w:pPr>
      <w:r w:rsidRPr="00F611A2">
        <w:t xml:space="preserve">Queensland Government Statistician’s Office. InfoBank – Demography. [Webpage.] Brisbane: Queensland Government; 2024. Available from: </w:t>
      </w:r>
      <w:hyperlink r:id="rId30" w:anchor="estimated" w:history="1">
        <w:r w:rsidRPr="004C61D2">
          <w:rPr>
            <w:rStyle w:val="Hyperlink"/>
          </w:rPr>
          <w:t>https://qheps.health.qld.gov.au/hsu/infobank/infobank-demography#estimated</w:t>
        </w:r>
      </w:hyperlink>
      <w:r w:rsidRPr="00F611A2">
        <w:t>.</w:t>
      </w:r>
    </w:p>
    <w:p w14:paraId="1A28634D" w14:textId="1274039C" w:rsidR="00F611A2" w:rsidRPr="00F611A2" w:rsidRDefault="00F611A2" w:rsidP="000149DE">
      <w:pPr>
        <w:pStyle w:val="CDINumberedList1-L1lessspace"/>
        <w:divId w:val="935526654"/>
      </w:pPr>
      <w:r w:rsidRPr="00F611A2">
        <w:t xml:space="preserve">Fitzpatrick T, Buchan SA, Mahant S, Fu L, Kwong JC, Stukel TA et al. Pediatric respiratory syncytial virus hospitalizations, 2017–2023. </w:t>
      </w:r>
      <w:r w:rsidRPr="00F611A2">
        <w:rPr>
          <w:i/>
          <w:iCs/>
        </w:rPr>
        <w:t>JAMA Netw Open</w:t>
      </w:r>
      <w:r w:rsidRPr="00F611A2">
        <w:t>. 2024;7(6):e2416077. doi:</w:t>
      </w:r>
      <w:r>
        <w:t> </w:t>
      </w:r>
      <w:hyperlink r:id="rId31" w:history="1">
        <w:r w:rsidR="000149DE" w:rsidRPr="004C61D2">
          <w:rPr>
            <w:rStyle w:val="Hyperlink"/>
          </w:rPr>
          <w:t>https://doi.org/10.1001/jamanetworkopen.2024.16077</w:t>
        </w:r>
      </w:hyperlink>
      <w:r w:rsidRPr="00F611A2">
        <w:t>.</w:t>
      </w:r>
    </w:p>
    <w:p w14:paraId="1A7646A9" w14:textId="3384AABD" w:rsidR="00F611A2" w:rsidRPr="00F611A2" w:rsidRDefault="00F611A2" w:rsidP="000149DE">
      <w:pPr>
        <w:pStyle w:val="CDINumberedList1-L1lessspace"/>
        <w:divId w:val="935526654"/>
      </w:pPr>
      <w:r w:rsidRPr="00F611A2">
        <w:t xml:space="preserve">Britton PN, Hu N, Saravanos G, Shrapnel J, Davis J, Snelling T et al. COVID-19 public health measures and respiratory syncytial virus. </w:t>
      </w:r>
      <w:r w:rsidRPr="00F611A2">
        <w:rPr>
          <w:i/>
          <w:iCs/>
        </w:rPr>
        <w:t>Lancet Child Adolesc Health</w:t>
      </w:r>
      <w:r w:rsidRPr="00F611A2">
        <w:t>. 2020;4(11):e42–3. doi:</w:t>
      </w:r>
      <w:r>
        <w:t> </w:t>
      </w:r>
      <w:hyperlink r:id="rId32" w:history="1">
        <w:r w:rsidR="000149DE" w:rsidRPr="004C61D2">
          <w:rPr>
            <w:rStyle w:val="Hyperlink"/>
          </w:rPr>
          <w:t>https://doi.org/10.1016/S2352-4642(20)30307-2</w:t>
        </w:r>
      </w:hyperlink>
      <w:r w:rsidRPr="00F611A2">
        <w:t>.</w:t>
      </w:r>
    </w:p>
    <w:p w14:paraId="46817206" w14:textId="4B76FF43" w:rsidR="00F611A2" w:rsidRPr="00F611A2" w:rsidRDefault="00F611A2" w:rsidP="000149DE">
      <w:pPr>
        <w:pStyle w:val="CDINumberedList1-L1lessspace"/>
        <w:divId w:val="935526654"/>
      </w:pPr>
      <w:r w:rsidRPr="00F611A2">
        <w:t xml:space="preserve">Openshaw PJM, Chiu C, Culley FJ, Johansson C. Protective and harmful immunity to RSV infection. </w:t>
      </w:r>
      <w:r w:rsidRPr="00F611A2">
        <w:rPr>
          <w:i/>
          <w:iCs/>
        </w:rPr>
        <w:t>Annu Rev Immunol</w:t>
      </w:r>
      <w:r w:rsidRPr="00F611A2">
        <w:t xml:space="preserve">. 2017;35:501–32. doi: </w:t>
      </w:r>
      <w:hyperlink r:id="rId33" w:history="1">
        <w:r w:rsidR="000149DE" w:rsidRPr="004C61D2">
          <w:rPr>
            <w:rStyle w:val="Hyperlink"/>
          </w:rPr>
          <w:t>https://doi.org/10.1146/annurev-immunol-051116-052206</w:t>
        </w:r>
      </w:hyperlink>
      <w:r w:rsidRPr="00F611A2">
        <w:t>.</w:t>
      </w:r>
    </w:p>
    <w:p w14:paraId="6F002598" w14:textId="30A27DEB" w:rsidR="00F611A2" w:rsidRPr="00F611A2" w:rsidRDefault="00F611A2" w:rsidP="000149DE">
      <w:pPr>
        <w:pStyle w:val="CDINumberedList1-L1lessspace"/>
        <w:divId w:val="935526654"/>
      </w:pPr>
      <w:r w:rsidRPr="00F611A2">
        <w:t xml:space="preserve">Doty B, Ghaswalla P, Bohn RL, Stoszek SK, Panozzo CA. Incidence of RSV in adults: a comprehensive review of observational studies and critical gaps in information. </w:t>
      </w:r>
      <w:r w:rsidRPr="00F611A2">
        <w:rPr>
          <w:i/>
          <w:iCs/>
        </w:rPr>
        <w:t>J Infect Dis</w:t>
      </w:r>
      <w:r w:rsidRPr="00F611A2">
        <w:t>. 2024:jiae314. doi:</w:t>
      </w:r>
      <w:r w:rsidR="000149DE">
        <w:t> </w:t>
      </w:r>
      <w:hyperlink r:id="rId34" w:history="1">
        <w:r w:rsidR="000149DE" w:rsidRPr="004C61D2">
          <w:rPr>
            <w:rStyle w:val="Hyperlink"/>
          </w:rPr>
          <w:t>https://doi.org/10.1093/infdis/jiae314</w:t>
        </w:r>
      </w:hyperlink>
      <w:r w:rsidRPr="00F611A2">
        <w:t>.</w:t>
      </w:r>
    </w:p>
    <w:p w14:paraId="73AF3B1E" w14:textId="07291E2A" w:rsidR="00F611A2" w:rsidRPr="00F611A2" w:rsidRDefault="00F611A2" w:rsidP="000149DE">
      <w:pPr>
        <w:pStyle w:val="CDINumberedList1-L1lessspace"/>
        <w:divId w:val="935526654"/>
      </w:pPr>
      <w:r w:rsidRPr="00F611A2">
        <w:t xml:space="preserve">Obando-Pacheco P, Justicia-Grande AJ, Rivero-Calle I, Rodríguez-Tenreiro C, Sly P, Ramilo O et al. Respiratory syncytial virus seasonality: a global overview. </w:t>
      </w:r>
      <w:r w:rsidRPr="00F611A2">
        <w:rPr>
          <w:i/>
          <w:iCs/>
        </w:rPr>
        <w:t>J Infect Dis</w:t>
      </w:r>
      <w:r w:rsidRPr="00F611A2">
        <w:t>. 2018;217(9):1356–64. doi:</w:t>
      </w:r>
      <w:r w:rsidR="000149DE">
        <w:t> </w:t>
      </w:r>
      <w:hyperlink r:id="rId35" w:history="1">
        <w:r w:rsidR="000149DE" w:rsidRPr="004C61D2">
          <w:rPr>
            <w:rStyle w:val="Hyperlink"/>
          </w:rPr>
          <w:t>https://doi.org/10.1093/infdis/jiy056</w:t>
        </w:r>
      </w:hyperlink>
      <w:r w:rsidRPr="00F611A2">
        <w:t>.</w:t>
      </w:r>
    </w:p>
    <w:p w14:paraId="247BD454" w14:textId="1028624A" w:rsidR="00F611A2" w:rsidRPr="00F611A2" w:rsidRDefault="00F611A2" w:rsidP="000149DE">
      <w:pPr>
        <w:pStyle w:val="CDINumberedList1-L1lessspace"/>
        <w:divId w:val="935526654"/>
      </w:pPr>
      <w:r w:rsidRPr="00F611A2">
        <w:t xml:space="preserve">Broberg EK, Waris M, Johansen K, Snacken R, Penttinen P, European Influenza Surveillance Network. Seasonality and geographical spread of respiratory syncytial virus epidemics in 15 European countries, 2010 to 2016. </w:t>
      </w:r>
      <w:r w:rsidRPr="00F611A2">
        <w:rPr>
          <w:i/>
          <w:iCs/>
        </w:rPr>
        <w:t>Euro Surveill</w:t>
      </w:r>
      <w:r w:rsidRPr="00F611A2">
        <w:t xml:space="preserve">. 2018;23(5):17-00284. </w:t>
      </w:r>
      <w:r w:rsidR="000149DE">
        <w:br/>
      </w:r>
      <w:r w:rsidRPr="00F611A2">
        <w:t xml:space="preserve">doi: </w:t>
      </w:r>
      <w:hyperlink r:id="rId36" w:history="1">
        <w:r w:rsidR="000149DE" w:rsidRPr="004C61D2">
          <w:rPr>
            <w:rStyle w:val="Hyperlink"/>
          </w:rPr>
          <w:t>https://doi.org/10.2807/1560-7917.ES.2018.23.5.17-00284</w:t>
        </w:r>
      </w:hyperlink>
      <w:r w:rsidRPr="00F611A2">
        <w:t>.</w:t>
      </w:r>
    </w:p>
    <w:p w14:paraId="3D8D59AE" w14:textId="6F46AEDC" w:rsidR="00F611A2" w:rsidRPr="00F611A2" w:rsidRDefault="00F611A2" w:rsidP="000149DE">
      <w:pPr>
        <w:pStyle w:val="CDINumberedList1-L1lessspace"/>
        <w:divId w:val="935526654"/>
      </w:pPr>
      <w:r w:rsidRPr="00F611A2">
        <w:t xml:space="preserve">Eiland LS. Respiratory syncytial virus: diagnosis, treatment and prevention. </w:t>
      </w:r>
      <w:r w:rsidRPr="00F611A2">
        <w:rPr>
          <w:i/>
          <w:iCs/>
        </w:rPr>
        <w:t>J Pediatr Pharmacol Ther</w:t>
      </w:r>
      <w:r w:rsidRPr="00F611A2">
        <w:t xml:space="preserve">. 2009;14(2):75–85. doi: </w:t>
      </w:r>
      <w:hyperlink r:id="rId37" w:history="1">
        <w:r w:rsidR="000149DE" w:rsidRPr="004C61D2">
          <w:rPr>
            <w:rStyle w:val="Hyperlink"/>
          </w:rPr>
          <w:t>https://doi.org/10.5863/1551-6776-14.2.75</w:t>
        </w:r>
      </w:hyperlink>
      <w:r w:rsidRPr="00F611A2">
        <w:t>.</w:t>
      </w:r>
    </w:p>
    <w:p w14:paraId="72B646C5" w14:textId="3BDB1FEC" w:rsidR="00F611A2" w:rsidRPr="00F611A2" w:rsidRDefault="00F611A2" w:rsidP="000149DE">
      <w:pPr>
        <w:pStyle w:val="CDINumberedList1-L1lessspace"/>
        <w:divId w:val="935526654"/>
      </w:pPr>
      <w:r w:rsidRPr="00F611A2">
        <w:t xml:space="preserve">Nair H, Nokes DJ, Gessner BD, Dherani M, Madhi SA, Singleton RJ et al. Global burden of acute lower respiratory infections due to respiratory syncytial virus in young children: a systematic review and meta-analysis. </w:t>
      </w:r>
      <w:r w:rsidRPr="00F611A2">
        <w:rPr>
          <w:i/>
          <w:iCs/>
        </w:rPr>
        <w:t>Lancet</w:t>
      </w:r>
      <w:r w:rsidRPr="00F611A2">
        <w:t xml:space="preserve">. 2010;375(9725):1545–55. doi: </w:t>
      </w:r>
      <w:hyperlink r:id="rId38" w:history="1">
        <w:r w:rsidR="000149DE" w:rsidRPr="004C61D2">
          <w:rPr>
            <w:rStyle w:val="Hyperlink"/>
          </w:rPr>
          <w:t>https://doi.org/10.1016/S0140-6736(10)60206-1</w:t>
        </w:r>
      </w:hyperlink>
      <w:r w:rsidRPr="00F611A2">
        <w:t>.</w:t>
      </w:r>
    </w:p>
    <w:p w14:paraId="55C5D63F" w14:textId="63902832" w:rsidR="00F611A2" w:rsidRPr="00F611A2" w:rsidRDefault="00F611A2" w:rsidP="000149DE">
      <w:pPr>
        <w:pStyle w:val="CDINumberedList1-L1lessspace"/>
        <w:divId w:val="935526654"/>
      </w:pPr>
      <w:r w:rsidRPr="00F611A2">
        <w:t xml:space="preserve">Walsh EE, Pérez Marc G, Zareba AM, Falsey AR, Jiang Q, Patton M et al. Efficacy and safety of a bivalent RSV prefusion F vaccine in older adults. </w:t>
      </w:r>
      <w:r w:rsidRPr="00F611A2">
        <w:rPr>
          <w:i/>
          <w:iCs/>
        </w:rPr>
        <w:t>N Engl J Med</w:t>
      </w:r>
      <w:r w:rsidRPr="00F611A2">
        <w:t>. 2023;388(16):1465–77. doi:</w:t>
      </w:r>
      <w:r w:rsidR="000149DE">
        <w:t> </w:t>
      </w:r>
      <w:hyperlink r:id="rId39" w:history="1">
        <w:r w:rsidR="000149DE" w:rsidRPr="004C61D2">
          <w:rPr>
            <w:rStyle w:val="Hyperlink"/>
          </w:rPr>
          <w:t>https://doi.org/10.1056/NEJMoa2213836</w:t>
        </w:r>
      </w:hyperlink>
      <w:r w:rsidRPr="00F611A2">
        <w:t>.</w:t>
      </w:r>
    </w:p>
    <w:p w14:paraId="074EDBF2" w14:textId="501BEDC2" w:rsidR="00620509" w:rsidRPr="000149DE" w:rsidRDefault="00F611A2" w:rsidP="002A7CCB">
      <w:pPr>
        <w:pStyle w:val="CDINumberedList1-L1"/>
        <w:divId w:val="935526654"/>
      </w:pPr>
      <w:r w:rsidRPr="00F611A2">
        <w:t xml:space="preserve">Drysdale SB, Cathie K, Flamein F, Knuf M, Collins AM, Hill HC et al. Nirsevimab for prevention of hospitalizations due to RSV in infants. </w:t>
      </w:r>
      <w:r w:rsidRPr="000149DE">
        <w:rPr>
          <w:i/>
          <w:iCs/>
        </w:rPr>
        <w:t>N Engl J Med</w:t>
      </w:r>
      <w:r w:rsidRPr="00F611A2">
        <w:t>. 2023;389(26):2425–35. doi:</w:t>
      </w:r>
      <w:r w:rsidR="000149DE">
        <w:t> </w:t>
      </w:r>
      <w:hyperlink r:id="rId40" w:history="1">
        <w:r w:rsidR="000149DE" w:rsidRPr="004C61D2">
          <w:rPr>
            <w:rStyle w:val="Hyperlink"/>
          </w:rPr>
          <w:t>https://doi.org/10.1056/NEJMoa2309189</w:t>
        </w:r>
      </w:hyperlink>
      <w:r w:rsidRPr="00F611A2">
        <w:t>.</w:t>
      </w:r>
    </w:p>
    <w:p w14:paraId="7758851D" w14:textId="77777777" w:rsidR="001A26DD" w:rsidRDefault="001A26DD" w:rsidP="0037146D">
      <w:pPr>
        <w:divId w:val="935526654"/>
        <w:sectPr w:rsidR="001A26DD" w:rsidSect="00817197">
          <w:footnotePr>
            <w:numFmt w:val="lowerRoman"/>
          </w:footnotePr>
          <w:pgSz w:w="11907" w:h="16840" w:code="9"/>
          <w:pgMar w:top="1134" w:right="1134" w:bottom="1304" w:left="1134" w:header="709" w:footer="567" w:gutter="0"/>
          <w:cols w:space="708"/>
          <w:docGrid w:linePitch="360"/>
          <w15:footnoteColumns w:val="1"/>
        </w:sectPr>
      </w:pPr>
    </w:p>
    <w:p w14:paraId="19F7A9B4"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FF748F">
          <w:t>2025</w:t>
        </w:r>
      </w:fldSimple>
      <w:r w:rsidRPr="0089025E">
        <w:t xml:space="preserve"> Commonwealth of Australia as represented by the </w:t>
      </w:r>
      <w:r w:rsidR="00602AC1">
        <w:t>Department of Health and Aged Care</w:t>
      </w:r>
    </w:p>
    <w:p w14:paraId="4D361982" w14:textId="77777777" w:rsidR="00DE4482" w:rsidRPr="0089025E" w:rsidRDefault="00DE4482" w:rsidP="00C32715">
      <w:pPr>
        <w:pStyle w:val="CDICopyrighttext-lessspace"/>
      </w:pPr>
      <w:r w:rsidRPr="0089025E">
        <w:t>ISSN: 2209-6051 Online</w:t>
      </w:r>
    </w:p>
    <w:p w14:paraId="2F7D7621" w14:textId="77777777" w:rsidR="00DE4482" w:rsidRDefault="00DE4482" w:rsidP="00C32715">
      <w:pPr>
        <w:pStyle w:val="CDICopyrighttext-lessspace"/>
      </w:pPr>
      <w:r w:rsidRPr="0089025E">
        <w:t>This journal is indexed by Index Medicus and Medline.</w:t>
      </w:r>
    </w:p>
    <w:p w14:paraId="7B29AB06" w14:textId="77777777" w:rsidR="006221DD" w:rsidRPr="0089025E" w:rsidRDefault="006221DD" w:rsidP="00C32715">
      <w:pPr>
        <w:pStyle w:val="CDICopyrightheading"/>
      </w:pPr>
      <w:r>
        <w:t>Creative Commons Licence</w:t>
      </w:r>
    </w:p>
    <w:p w14:paraId="0892F99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41"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097F06BB" w14:textId="77777777" w:rsidR="000705FF" w:rsidRPr="00194A12" w:rsidRDefault="000705FF" w:rsidP="00194A12">
      <w:pPr>
        <w:pStyle w:val="CDICopyrightheading"/>
      </w:pPr>
      <w:r w:rsidRPr="00194A12">
        <w:t>Restrictions</w:t>
      </w:r>
    </w:p>
    <w:p w14:paraId="6931EFB9"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BC68A7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4ABAAD2E"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76928F28" w14:textId="77777777" w:rsidR="000705FF" w:rsidRPr="0089025E" w:rsidRDefault="000705FF" w:rsidP="00AC0F5D">
      <w:pPr>
        <w:pStyle w:val="CDICopyrightbullets"/>
      </w:pPr>
      <w:r w:rsidRPr="0089025E">
        <w:t xml:space="preserve">any photographs and images; </w:t>
      </w:r>
    </w:p>
    <w:p w14:paraId="6F8ADC60" w14:textId="77777777" w:rsidR="000705FF" w:rsidRPr="0089025E" w:rsidRDefault="000705FF" w:rsidP="00AC0F5D">
      <w:pPr>
        <w:pStyle w:val="CDICopyrightbullets"/>
      </w:pPr>
      <w:r w:rsidRPr="0089025E">
        <w:t>any signatures; and</w:t>
      </w:r>
    </w:p>
    <w:p w14:paraId="3D354FFA" w14:textId="77777777" w:rsidR="000705FF" w:rsidRPr="0089025E" w:rsidRDefault="000705FF" w:rsidP="00AC0F5D">
      <w:pPr>
        <w:pStyle w:val="CDICopyrightbullets"/>
      </w:pPr>
      <w:r w:rsidRPr="0089025E">
        <w:t xml:space="preserve">any material belonging to third parties. </w:t>
      </w:r>
    </w:p>
    <w:p w14:paraId="414A0276" w14:textId="77777777" w:rsidR="000F223B" w:rsidRPr="0089025E" w:rsidRDefault="000705FF" w:rsidP="00194A12">
      <w:pPr>
        <w:pStyle w:val="CDICopyrightheading"/>
      </w:pPr>
      <w:r w:rsidRPr="0089025E">
        <w:t>Disclaimer</w:t>
      </w:r>
    </w:p>
    <w:p w14:paraId="4F4D3E2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61559350" w14:textId="77777777" w:rsidR="000F223B" w:rsidRPr="0089025E" w:rsidRDefault="000705FF" w:rsidP="00194A12">
      <w:pPr>
        <w:pStyle w:val="CDICopyrightheading"/>
      </w:pPr>
      <w:r w:rsidRPr="0089025E">
        <w:t>Enquiries</w:t>
      </w:r>
    </w:p>
    <w:p w14:paraId="2B0152A9"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42" w:history="1">
        <w:r w:rsidR="00EE2F5A" w:rsidRPr="00400985">
          <w:rPr>
            <w:rStyle w:val="Hyperlink"/>
          </w:rPr>
          <w:t>cdi.editor@health.gov.au</w:t>
        </w:r>
      </w:hyperlink>
      <w:r w:rsidR="00863F8D" w:rsidRPr="00863F8D">
        <w:t>.</w:t>
      </w:r>
    </w:p>
    <w:p w14:paraId="6CCCD4C4" w14:textId="77777777" w:rsidR="000F223B" w:rsidRPr="0089025E" w:rsidRDefault="000705FF" w:rsidP="00194A12">
      <w:pPr>
        <w:pStyle w:val="CDICopyrightheading"/>
      </w:pPr>
      <w:r w:rsidRPr="0089025E">
        <w:t>Communicable Diseases Network Australia</w:t>
      </w:r>
    </w:p>
    <w:p w14:paraId="090B45F6" w14:textId="77777777" w:rsidR="00DA2E9E" w:rsidRDefault="000705FF" w:rsidP="00194A12">
      <w:pPr>
        <w:pStyle w:val="CDICopyrighttext"/>
      </w:pPr>
      <w:r w:rsidRPr="0089025E">
        <w:t xml:space="preserve">Communicable Diseases Intelligence contributes to the work of the </w:t>
      </w:r>
      <w:hyperlink r:id="rId43" w:history="1">
        <w:r w:rsidRPr="00C47C8C">
          <w:rPr>
            <w:rStyle w:val="Hyperlink"/>
          </w:rPr>
          <w:t>Communicable Diseases Network Australia</w:t>
        </w:r>
      </w:hyperlink>
      <w:r w:rsidRPr="0089025E">
        <w:t>.</w:t>
      </w:r>
      <w:r w:rsidR="0089025E" w:rsidRPr="0089025E">
        <w:t xml:space="preserve"> </w:t>
      </w:r>
    </w:p>
    <w:p w14:paraId="1087B16E" w14:textId="77777777" w:rsidR="004B0C95" w:rsidRDefault="004B0C95" w:rsidP="004B0C95">
      <w:pPr>
        <w:pStyle w:val="Normal-nospace"/>
      </w:pPr>
    </w:p>
    <w:p w14:paraId="40AE923E"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42D20BB"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524D4EFE"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ADC54CA"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71ADC683" w14:textId="77777777" w:rsidR="00A51E0E" w:rsidRPr="0089025E" w:rsidRDefault="00A51E0E" w:rsidP="00A51E0E">
      <w:pPr>
        <w:pStyle w:val="CDICopyrightheading"/>
      </w:pPr>
      <w:r w:rsidRPr="0089025E">
        <w:t>Submit an Article</w:t>
      </w:r>
    </w:p>
    <w:p w14:paraId="32A5769E"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44" w:history="1">
        <w:r w:rsidRPr="004B0C95">
          <w:rPr>
            <w:rStyle w:val="Hyperlink"/>
          </w:rPr>
          <w:t>Information for authors</w:t>
        </w:r>
      </w:hyperlink>
      <w:r>
        <w:t xml:space="preserve"> and details on how to </w:t>
      </w:r>
      <w:hyperlink r:id="rId45" w:anchor="submission_package" w:history="1">
        <w:r w:rsidRPr="004B0C95">
          <w:rPr>
            <w:rStyle w:val="Hyperlink"/>
          </w:rPr>
          <w:t>submit your publication</w:t>
        </w:r>
      </w:hyperlink>
      <w:r>
        <w:t xml:space="preserve"> is available on our </w:t>
      </w:r>
      <w:r w:rsidRPr="004B0C95">
        <w:t>website</w:t>
      </w:r>
      <w:r>
        <w:t xml:space="preserve">, or by email at </w:t>
      </w:r>
      <w:hyperlink r:id="rId46" w:history="1">
        <w:r w:rsidR="00A51E0E" w:rsidRPr="000C6EB5">
          <w:rPr>
            <w:rStyle w:val="Hyperlink"/>
          </w:rPr>
          <w:t>cdi.editor@health.gov.au</w:t>
        </w:r>
      </w:hyperlink>
      <w:r w:rsidR="00863F8D">
        <w:t>.</w:t>
      </w:r>
    </w:p>
    <w:p w14:paraId="10C45BF3" w14:textId="77777777" w:rsidR="00DE4482" w:rsidRPr="0089025E" w:rsidRDefault="00A51E0E" w:rsidP="00194A12">
      <w:pPr>
        <w:pStyle w:val="CDICopyrightheading"/>
      </w:pPr>
      <w:r>
        <w:t>Contact us</w:t>
      </w:r>
    </w:p>
    <w:p w14:paraId="580836DE" w14:textId="77777777" w:rsidR="00863F8D" w:rsidRDefault="00126546" w:rsidP="00863F8D">
      <w:pPr>
        <w:pStyle w:val="CDICopyrighttext-nospace"/>
      </w:pPr>
      <w:r>
        <w:t>Communicable Diseases Intelligence (CDI)</w:t>
      </w:r>
    </w:p>
    <w:p w14:paraId="4E2DC853" w14:textId="77777777" w:rsidR="00863F8D" w:rsidRDefault="00470C19" w:rsidP="00863F8D">
      <w:pPr>
        <w:pStyle w:val="CDICopyrighttext-nospace"/>
      </w:pPr>
      <w:r>
        <w:t>Health Security &amp; Emergency Management Division</w:t>
      </w:r>
    </w:p>
    <w:p w14:paraId="4D6B04A6" w14:textId="77777777" w:rsidR="00863F8D" w:rsidRDefault="00602AC1" w:rsidP="00863F8D">
      <w:pPr>
        <w:pStyle w:val="CDICopyrighttext-nospace"/>
      </w:pPr>
      <w:r>
        <w:t>Department of Health and Aged Care</w:t>
      </w:r>
    </w:p>
    <w:p w14:paraId="1D9E2EBF" w14:textId="77777777" w:rsidR="000A5F42" w:rsidRPr="0089025E" w:rsidRDefault="00E54BBD" w:rsidP="00863F8D">
      <w:pPr>
        <w:pStyle w:val="CDICopyrighttext-lessspace"/>
      </w:pPr>
      <w:r w:rsidRPr="0089025E">
        <w:t>GPO Box 9848, CANBERRA ACT 2601</w:t>
      </w:r>
    </w:p>
    <w:p w14:paraId="58741214" w14:textId="77777777" w:rsidR="00863F8D" w:rsidRDefault="00DA2E9E" w:rsidP="00863F8D">
      <w:pPr>
        <w:pStyle w:val="CDICopyrighttext-nospace"/>
      </w:pPr>
      <w:r w:rsidRPr="0089025E">
        <w:t xml:space="preserve">Website: </w:t>
      </w:r>
      <w:hyperlink r:id="rId47" w:history="1">
        <w:r w:rsidR="00AC0F5D" w:rsidRPr="000C6EB5">
          <w:rPr>
            <w:rStyle w:val="Hyperlink"/>
          </w:rPr>
          <w:t>www.health.gov.au/cdi</w:t>
        </w:r>
      </w:hyperlink>
    </w:p>
    <w:p w14:paraId="77E6680C" w14:textId="77777777" w:rsidR="000A5F42" w:rsidRPr="0089025E" w:rsidRDefault="000A5F42" w:rsidP="00863F8D">
      <w:pPr>
        <w:pStyle w:val="CDICopyrighttext-lessspace"/>
      </w:pPr>
      <w:r w:rsidRPr="0089025E">
        <w:t xml:space="preserve">Email: </w:t>
      </w:r>
      <w:hyperlink r:id="rId48" w:history="1">
        <w:r w:rsidR="00AC0F5D" w:rsidRPr="000C6EB5">
          <w:rPr>
            <w:rStyle w:val="Hyperlink"/>
          </w:rPr>
          <w:t>cdi.editor@health.gov.au</w:t>
        </w:r>
      </w:hyperlink>
    </w:p>
    <w:sectPr w:rsidR="000A5F42" w:rsidRPr="0089025E" w:rsidSect="00690957">
      <w:footerReference w:type="default" r:id="rId49"/>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DDBE" w14:textId="77777777" w:rsidR="00FF748F" w:rsidRDefault="00FF748F" w:rsidP="00E54DBA">
      <w:r>
        <w:separator/>
      </w:r>
    </w:p>
    <w:p w14:paraId="5082A959" w14:textId="77777777" w:rsidR="00FF748F" w:rsidRDefault="00FF748F"/>
    <w:p w14:paraId="3FA7A7AE" w14:textId="77777777" w:rsidR="00FF748F" w:rsidRDefault="00FF748F" w:rsidP="008714B0"/>
  </w:endnote>
  <w:endnote w:type="continuationSeparator" w:id="0">
    <w:p w14:paraId="174E536B" w14:textId="77777777" w:rsidR="00FF748F" w:rsidRDefault="00FF748F" w:rsidP="00E54DBA">
      <w:r>
        <w:continuationSeparator/>
      </w:r>
    </w:p>
    <w:p w14:paraId="32E2E78B" w14:textId="77777777" w:rsidR="00FF748F" w:rsidRDefault="00FF748F"/>
    <w:p w14:paraId="45D997C3" w14:textId="77777777" w:rsidR="00FF748F" w:rsidRDefault="00FF748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1E66"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E9C2" w14:textId="2998390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F748F">
        <w:t>2025</w:t>
      </w:r>
    </w:fldSimple>
    <w:r w:rsidRPr="001D0612">
      <w:t xml:space="preserve"> </w:t>
    </w:r>
    <w:fldSimple w:instr=" DOCPROPERTY  Vol  \* MERGEFORMAT ">
      <w:r w:rsidR="00FF748F">
        <w:t>49</w:t>
      </w:r>
    </w:fldSimple>
    <w:r w:rsidRPr="001D0612">
      <w:t xml:space="preserve">  (</w:t>
    </w:r>
    <w:fldSimple w:instr=" DOCPROPERTY  DOI  \* MERGEFORMAT ">
      <w:r w:rsidR="00866956">
        <w:t>https://doi.org/10.33321/cdi.2025.49.041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866956">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450F" w14:textId="77777777" w:rsidR="00CF52E4" w:rsidRPr="006B4588" w:rsidRDefault="00CF52E4" w:rsidP="006B4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7F82" w14:textId="6E0D8B51"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FF748F">
        <w:t>2025</w:t>
      </w:r>
    </w:fldSimple>
    <w:r w:rsidRPr="001D0612">
      <w:t xml:space="preserve"> </w:t>
    </w:r>
    <w:fldSimple w:instr=" DOCPROPERTY  Vol  \* MERGEFORMAT ">
      <w:r w:rsidR="00FF748F">
        <w:t>49</w:t>
      </w:r>
    </w:fldSimple>
    <w:r w:rsidRPr="001D0612">
      <w:t xml:space="preserve">  (</w:t>
    </w:r>
    <w:fldSimple w:instr=" DOCPROPERTY  DOI  \* MERGEFORMAT ">
      <w:r w:rsidR="00866956">
        <w:t>https://doi.org/10.33321/cdi.2025.49.041</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866956">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98DB" w14:textId="77777777" w:rsidR="00FF748F" w:rsidRPr="00B91FB5" w:rsidRDefault="00FF748F" w:rsidP="00DB485B">
      <w:pPr>
        <w:spacing w:after="60" w:line="240" w:lineRule="auto"/>
        <w:rPr>
          <w:sz w:val="18"/>
          <w:szCs w:val="18"/>
        </w:rPr>
      </w:pPr>
      <w:r w:rsidRPr="00B91FB5">
        <w:rPr>
          <w:sz w:val="18"/>
          <w:szCs w:val="18"/>
        </w:rPr>
        <w:separator/>
      </w:r>
    </w:p>
  </w:footnote>
  <w:footnote w:type="continuationSeparator" w:id="0">
    <w:p w14:paraId="63A29B3E" w14:textId="77777777" w:rsidR="00FF748F" w:rsidRDefault="00FF748F" w:rsidP="00E54DBA">
      <w:r>
        <w:continuationSeparator/>
      </w:r>
    </w:p>
  </w:footnote>
  <w:footnote w:type="continuationNotice" w:id="1">
    <w:p w14:paraId="2AC8E3BB" w14:textId="77777777" w:rsidR="00FF748F" w:rsidRPr="00224EFF" w:rsidRDefault="00FF748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BFB1"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6D2A"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83FB"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7A8B5155" wp14:editId="4DBC1CAB">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20961217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8F"/>
    <w:rsid w:val="00000B5B"/>
    <w:rsid w:val="00001611"/>
    <w:rsid w:val="00002B8D"/>
    <w:rsid w:val="00003DE5"/>
    <w:rsid w:val="000104A8"/>
    <w:rsid w:val="0001246E"/>
    <w:rsid w:val="000124B1"/>
    <w:rsid w:val="000147ED"/>
    <w:rsid w:val="000149DE"/>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B5FC2"/>
    <w:rsid w:val="000C34E2"/>
    <w:rsid w:val="000C3D48"/>
    <w:rsid w:val="000C3FB4"/>
    <w:rsid w:val="000D4B4D"/>
    <w:rsid w:val="000E1322"/>
    <w:rsid w:val="000E4FE3"/>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188"/>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A3253"/>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B4588"/>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06E41"/>
    <w:rsid w:val="00811708"/>
    <w:rsid w:val="00813007"/>
    <w:rsid w:val="0081404B"/>
    <w:rsid w:val="00816B90"/>
    <w:rsid w:val="00817197"/>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66956"/>
    <w:rsid w:val="008709BC"/>
    <w:rsid w:val="00870DA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1D07"/>
    <w:rsid w:val="00CB3D46"/>
    <w:rsid w:val="00CB3D75"/>
    <w:rsid w:val="00CC0771"/>
    <w:rsid w:val="00CD11FF"/>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917"/>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11A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 w:val="00FF7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A85DD"/>
  <w15:docId w15:val="{AF30A828-DA68-47BA-BFBC-20E68655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A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FF748F"/>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8709BC"/>
    <w:pPr>
      <w:spacing w:after="120"/>
    </w:pPr>
  </w:style>
  <w:style w:type="character" w:customStyle="1" w:styleId="BodyTextChar">
    <w:name w:val="Body Text Char"/>
    <w:basedOn w:val="DefaultParagraphFont"/>
    <w:link w:val="BodyText"/>
    <w:uiPriority w:val="99"/>
    <w:semiHidden/>
    <w:rsid w:val="008709BC"/>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93/ofid/ofac300" TargetMode="External"/><Relationship Id="rId26" Type="http://schemas.openxmlformats.org/officeDocument/2006/relationships/hyperlink" Target="https://doi.org/10.33321/cdi.2024.48.45" TargetMode="External"/><Relationship Id="rId39" Type="http://schemas.openxmlformats.org/officeDocument/2006/relationships/hyperlink" Target="https://doi.org/10.1056/NEJMoa2213836" TargetMode="External"/><Relationship Id="rId3" Type="http://schemas.openxmlformats.org/officeDocument/2006/relationships/numbering" Target="numbering.xml"/><Relationship Id="rId21" Type="http://schemas.openxmlformats.org/officeDocument/2006/relationships/hyperlink" Target="https://doi.org/10.1038/s41598-021-04080-3" TargetMode="External"/><Relationship Id="rId34" Type="http://schemas.openxmlformats.org/officeDocument/2006/relationships/hyperlink" Target="https://doi.org/10.1093/infdis/jiae314" TargetMode="External"/><Relationship Id="rId42" Type="http://schemas.openxmlformats.org/officeDocument/2006/relationships/hyperlink" Target="mailto:cdi.editor@health.gov.au" TargetMode="External"/><Relationship Id="rId47" Type="http://schemas.openxmlformats.org/officeDocument/2006/relationships/hyperlink" Target="http://www.health.gov.au/cdi"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16/S0140-6736(17)30938-8" TargetMode="External"/><Relationship Id="rId25" Type="http://schemas.openxmlformats.org/officeDocument/2006/relationships/hyperlink" Target="https://doi.org/10.1093/infdis/jiad415" TargetMode="External"/><Relationship Id="rId33" Type="http://schemas.openxmlformats.org/officeDocument/2006/relationships/hyperlink" Target="https://doi.org/10.1146/annurev-immunol-051116-052206" TargetMode="External"/><Relationship Id="rId38" Type="http://schemas.openxmlformats.org/officeDocument/2006/relationships/hyperlink" Target="https://doi.org/10.1016/S0140-6736(10)60206-1" TargetMode="External"/><Relationship Id="rId46"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mailto:Gulam.Khandaker@health.qld.gov.au" TargetMode="External"/><Relationship Id="rId20" Type="http://schemas.openxmlformats.org/officeDocument/2006/relationships/hyperlink" Target="https://doi.org/10.1186/s12889-023-17474-x" TargetMode="External"/><Relationship Id="rId29" Type="http://schemas.openxmlformats.org/officeDocument/2006/relationships/hyperlink" Target="https://www.cq.health.qld.gov.au/about-us" TargetMode="External"/><Relationship Id="rId41"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07/s40121-023-00758-5" TargetMode="External"/><Relationship Id="rId32" Type="http://schemas.openxmlformats.org/officeDocument/2006/relationships/hyperlink" Target="https://doi.org/10.1016/S2352-4642(20)30307-2" TargetMode="External"/><Relationship Id="rId37" Type="http://schemas.openxmlformats.org/officeDocument/2006/relationships/hyperlink" Target="https://doi.org/10.5863/1551-6776-14.2.75" TargetMode="External"/><Relationship Id="rId40" Type="http://schemas.openxmlformats.org/officeDocument/2006/relationships/hyperlink" Target="https://doi.org/10.1056/NEJMoa2309189" TargetMode="External"/><Relationship Id="rId45" Type="http://schemas.openxmlformats.org/officeDocument/2006/relationships/hyperlink" Target="https://www1.health.gov.au/internet/main/publishing.nsf/Content/cda-pubs-cdi-auth_inst.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177/0009922814546040" TargetMode="External"/><Relationship Id="rId28" Type="http://schemas.openxmlformats.org/officeDocument/2006/relationships/hyperlink" Target="https://statistics.qgso.qld.gov.au/qld-regional-profiles" TargetMode="External"/><Relationship Id="rId36" Type="http://schemas.openxmlformats.org/officeDocument/2006/relationships/hyperlink" Target="https://doi.org/10.2807/1560-7917.ES.2018.23.5.17-00284"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doi.org/10.1016/j.vaccine.2015.05.093" TargetMode="External"/><Relationship Id="rId31" Type="http://schemas.openxmlformats.org/officeDocument/2006/relationships/hyperlink" Target="https://doi.org/10.1001/jamanetworkopen.2024.16077" TargetMode="External"/><Relationship Id="rId44" Type="http://schemas.openxmlformats.org/officeDocument/2006/relationships/hyperlink" Target="https://www1.health.gov.au/internet/main/publishing.nsf/Content/cda-pubs-cdi-auth_inst.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5694/mja2.50159" TargetMode="External"/><Relationship Id="rId27" Type="http://schemas.openxmlformats.org/officeDocument/2006/relationships/hyperlink" Target="https://www.qld.gov.au/__data/assets/pdf_file/0020/68141/central-qld-climate-change-impact-summary.pdf" TargetMode="External"/><Relationship Id="rId30" Type="http://schemas.openxmlformats.org/officeDocument/2006/relationships/hyperlink" Target="https://qheps.health.qld.gov.au/hsu/infobank/infobank-demography" TargetMode="External"/><Relationship Id="rId35" Type="http://schemas.openxmlformats.org/officeDocument/2006/relationships/hyperlink" Target="https://doi.org/10.1093/infdis/jiy056" TargetMode="External"/><Relationship Id="rId43" Type="http://schemas.openxmlformats.org/officeDocument/2006/relationships/hyperlink" Target="http://www.health.gov.au/cdna" TargetMode="External"/><Relationship Id="rId48" Type="http://schemas.openxmlformats.org/officeDocument/2006/relationships/hyperlink" Target="mailto:cdi.editor@health.gov.au" TargetMode="External"/><Relationship Id="rId8" Type="http://schemas.openxmlformats.org/officeDocument/2006/relationships/endnotes" Target="endnotes.xm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15</Pages>
  <Words>5231</Words>
  <Characters>32490</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Communicable Diseases Intelligence - Hospital-based surveillance of respiratory syncytial virus in Central Queensland</vt:lpstr>
    </vt:vector>
  </TitlesOfParts>
  <Company/>
  <LinksUpToDate>false</LinksUpToDate>
  <CharactersWithSpaces>37646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Hospital-based surveillance of respiratory syncytial virus in Central Queensland</dc:title>
  <dc:subject>The study highlights a significant increase in respiratory syncytial virus (RSV)-related hospitalisations in Central Queensland, particularly among infants and Indigenous populations, between 2018 and 2023. Enhanced testing during the prospective surveillance period revealed underreporting in previous years, underscoring the need for better testing, resource allocation, and immunisation strategies to effectively manage the RSV burden.</dc:subject>
  <dc:creator>Mahmudul Hassan Al Imam;Reema Goswami;Caitlyn Bolck;Jacina Walker;Michael Kirk;Robert Menzies;Gulam Khandaker</dc:creator>
  <cp:keywords>respiratory syncytial virus; RSV; RSV hospitalisation; paediatric respiratory infections; acute lower respiratory tract infections; epidemiology; RSV testing; respiratory illness; Australia</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2025-05-11T23:44:00Z</dcterms:created>
  <dcterms:modified xsi:type="dcterms:W3CDTF">2025-05-11T23:44:00Z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https://doi.org/10.33321/cdi.2025.49.041</vt:lpwstr>
  </property>
</Properties>
</file>