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F595C" w14:textId="6E74D932" w:rsidR="00B50D8D" w:rsidRPr="00341720" w:rsidRDefault="00282B56" w:rsidP="00341720">
      <w:pPr>
        <w:pStyle w:val="CDIDOIinformation"/>
      </w:pPr>
      <w:r>
        <w:fldChar w:fldCharType="begin"/>
      </w:r>
      <w:r>
        <w:instrText xml:space="preserve"> DOCPROPERTY  Year  \* MERGEFORMAT </w:instrText>
      </w:r>
      <w:r>
        <w:fldChar w:fldCharType="separate"/>
      </w:r>
      <w:r w:rsidR="00F2271D">
        <w:t>2025</w:t>
      </w:r>
      <w:r>
        <w:fldChar w:fldCharType="end"/>
      </w:r>
      <w:r w:rsidR="00A623E8" w:rsidRPr="00341720">
        <w:t xml:space="preserve"> • </w:t>
      </w:r>
      <w:r w:rsidR="00B50D8D" w:rsidRPr="00341720">
        <w:t xml:space="preserve">Volume </w:t>
      </w:r>
      <w:fldSimple w:instr=" DOCPROPERTY  Vol  \* MERGEFORMAT ">
        <w:r w:rsidR="00F2271D">
          <w:t>49</w:t>
        </w:r>
      </w:fldSimple>
      <w:r w:rsidR="00725C33" w:rsidRPr="00341720">
        <w:t xml:space="preserve"> </w:t>
      </w:r>
      <w:r w:rsidR="008E3F81" w:rsidRPr="00341720">
        <w:t>•</w:t>
      </w:r>
      <w:r w:rsidR="00725C33" w:rsidRPr="00341720">
        <w:t xml:space="preserve"> </w:t>
      </w:r>
      <w:fldSimple w:instr=" DOCPROPERTY  DOI  \* MERGEFORMAT ">
        <w:r w:rsidR="00EF45A2">
          <w:t>https://doi.org/10.33321/cdi.2025.49.016</w:t>
        </w:r>
      </w:fldSimple>
      <w:r w:rsidR="00725C33" w:rsidRPr="00341720">
        <w:t xml:space="preserve"> </w:t>
      </w:r>
      <w:r w:rsidR="00D20FB5" w:rsidRPr="00341720">
        <w:t>•</w:t>
      </w:r>
      <w:r w:rsidR="00D20FB5">
        <w:t xml:space="preserve"> </w:t>
      </w:r>
      <w:r w:rsidR="00D20FB5" w:rsidRPr="00341720">
        <w:t xml:space="preserve">Electronic publication date: </w:t>
      </w:r>
      <w:fldSimple w:instr=" DOCPROPERTY  ePubDate  \* MERGEFORMAT ">
        <w:r w:rsidR="00EF45A2">
          <w:t>25/03/2025</w:t>
        </w:r>
      </w:fldSimple>
    </w:p>
    <w:p w14:paraId="25541D6D" w14:textId="64F58C42" w:rsidR="006B16A5" w:rsidRPr="006B16A5" w:rsidRDefault="00EF45A2" w:rsidP="00437A2A">
      <w:pPr>
        <w:pStyle w:val="Title"/>
        <w:divId w:val="935526654"/>
      </w:pPr>
      <w:r w:rsidRPr="00EF45A2">
        <w:t>A foodborne norovirus outbreak associated with six events and a single caterer, Canberra, November 2022</w:t>
      </w:r>
    </w:p>
    <w:p w14:paraId="26F9B3F1" w14:textId="55FA8C54" w:rsidR="007A33B9" w:rsidRPr="0037146D" w:rsidRDefault="00EF45A2" w:rsidP="0037146D">
      <w:pPr>
        <w:pStyle w:val="Subtitle"/>
        <w:divId w:val="935526654"/>
      </w:pPr>
      <w:r w:rsidRPr="00EF45A2">
        <w:t>Alison Chew, Felicity Greenville, Nevada Pingault, Siobhan Barrett, Natasha Waters, Lyndell Hudson, Jenny Post</w:t>
      </w:r>
    </w:p>
    <w:p w14:paraId="5478FA1E" w14:textId="77777777" w:rsidR="0037146D" w:rsidRDefault="0037146D" w:rsidP="00437A2A">
      <w:pPr>
        <w:pStyle w:val="Heading1-lessspacebefore"/>
        <w:divId w:val="935526654"/>
      </w:pPr>
      <w:r>
        <w:t>Abstract</w:t>
      </w:r>
    </w:p>
    <w:p w14:paraId="40203B5F" w14:textId="136613DE" w:rsidR="00065A6B" w:rsidRDefault="00EF45A2" w:rsidP="00EF45A2">
      <w:pPr>
        <w:pStyle w:val="CDIBoxheading-Teal"/>
        <w:divId w:val="935526654"/>
        <w:rPr>
          <w:lang w:val="en-GB"/>
        </w:rPr>
      </w:pPr>
      <w:r w:rsidRPr="00EF45A2">
        <w:rPr>
          <w:lang w:val="en-GB"/>
        </w:rPr>
        <w:t>Introduction</w:t>
      </w:r>
    </w:p>
    <w:p w14:paraId="633320EC" w14:textId="77777777" w:rsidR="00EF45A2" w:rsidRPr="00EF45A2" w:rsidRDefault="00EF45A2" w:rsidP="00EF45A2">
      <w:pPr>
        <w:pStyle w:val="CDIBoxtext-Green"/>
        <w:divId w:val="935526654"/>
        <w:rPr>
          <w:lang w:val="en-GB"/>
        </w:rPr>
      </w:pPr>
      <w:r w:rsidRPr="00EF45A2">
        <w:rPr>
          <w:lang w:val="en-GB"/>
        </w:rPr>
        <w:t>An outbreak of gastrointestinal illness was investigated, affecting six events where attendees consumed food catered by a single catering business, in the Australian Capital Territory (ACT).</w:t>
      </w:r>
    </w:p>
    <w:p w14:paraId="122DDB63" w14:textId="00B2BF74" w:rsidR="00EF45A2" w:rsidRDefault="00EF45A2" w:rsidP="00EF45A2">
      <w:pPr>
        <w:pStyle w:val="CDIBoxheading-Teal"/>
        <w:divId w:val="935526654"/>
        <w:rPr>
          <w:lang w:val="en-GB"/>
        </w:rPr>
      </w:pPr>
      <w:r>
        <w:rPr>
          <w:lang w:val="en-GB"/>
        </w:rPr>
        <w:t>Methods</w:t>
      </w:r>
    </w:p>
    <w:p w14:paraId="42B9F9DE" w14:textId="77777777" w:rsidR="00EF45A2" w:rsidRPr="00EF45A2" w:rsidRDefault="00EF45A2" w:rsidP="00EF45A2">
      <w:pPr>
        <w:pStyle w:val="CDIBoxtext-Green"/>
        <w:divId w:val="935526654"/>
        <w:rPr>
          <w:lang w:val="en-GB"/>
        </w:rPr>
      </w:pPr>
      <w:r w:rsidRPr="00EF45A2">
        <w:rPr>
          <w:lang w:val="en-GB"/>
        </w:rPr>
        <w:t>Event attendees and the catering business were surveyed using tailored food questionnaires developed in REDCap and administered on-line. Descriptive analyses were conducted for all event attendees and employees of the business, and non-fatal productivity loss estimates calculated. Retrospective cohort studies were conducted for events that occurred on two specific days. A food safety inspection was undertaken of the catering business, and food and environmental samples were collected for microbiological analysis. Faecal specimens were collected from symptomatic event attendees.</w:t>
      </w:r>
    </w:p>
    <w:p w14:paraId="0177F414" w14:textId="3CA2F584" w:rsidR="00EF45A2" w:rsidRDefault="00EF45A2" w:rsidP="00EF45A2">
      <w:pPr>
        <w:pStyle w:val="CDIBoxheading-Teal"/>
        <w:divId w:val="935526654"/>
        <w:rPr>
          <w:lang w:val="en-GB"/>
        </w:rPr>
      </w:pPr>
      <w:r>
        <w:rPr>
          <w:lang w:val="en-GB"/>
        </w:rPr>
        <w:t>Results</w:t>
      </w:r>
    </w:p>
    <w:p w14:paraId="56E36F17" w14:textId="2DB8936E" w:rsidR="00437A2A" w:rsidRDefault="00437A2A" w:rsidP="00437A2A">
      <w:pPr>
        <w:pStyle w:val="CDIBoxtext-Green"/>
        <w:divId w:val="935526654"/>
        <w:rPr>
          <w:lang w:val="en-GB"/>
        </w:rPr>
      </w:pPr>
      <w:r w:rsidRPr="00437A2A">
        <w:rPr>
          <w:lang w:val="en-GB"/>
        </w:rPr>
        <w:t xml:space="preserve">A total of 82.2% of event attendees (129/157) completed a survey, of whom 49.6% (64/129) reported gastrointestinal illness resulting in an estimated non-fatal productivity loss of AUD $23,700. Univariate analysis of data collected from events on 16 November identified that illness was significantly associated with consumption of vegetarian rice paper rolls (risk ratio [RR]: 1.6; 95% confidence interval [95% CI]: 1.0–3.0; </w:t>
      </w:r>
      <w:r w:rsidRPr="00437A2A">
        <w:rPr>
          <w:i/>
          <w:iCs/>
          <w:lang w:val="en-GB"/>
        </w:rPr>
        <w:t>p</w:t>
      </w:r>
      <w:r w:rsidRPr="00437A2A">
        <w:rPr>
          <w:lang w:val="en-GB"/>
        </w:rPr>
        <w:t xml:space="preserve"> = 0.04). Multiple foods were significantly associated with illness from events that occurred on 17</w:t>
      </w:r>
      <w:r>
        <w:rPr>
          <w:lang w:val="en-GB"/>
        </w:rPr>
        <w:t> </w:t>
      </w:r>
      <w:r w:rsidRPr="00437A2A">
        <w:rPr>
          <w:lang w:val="en-GB"/>
        </w:rPr>
        <w:t>November 2022. On multivariable analysis, vegetarian rice paper rolls were associated with illness on 16</w:t>
      </w:r>
      <w:r>
        <w:rPr>
          <w:lang w:val="en-GB"/>
        </w:rPr>
        <w:t> </w:t>
      </w:r>
      <w:r w:rsidRPr="00437A2A">
        <w:rPr>
          <w:lang w:val="en-GB"/>
        </w:rPr>
        <w:t>November 2022 (RR: 1.7; 95% CI: 1.01–</w:t>
      </w:r>
      <w:proofErr w:type="gramStart"/>
      <w:r w:rsidRPr="00437A2A">
        <w:rPr>
          <w:lang w:val="en-GB"/>
        </w:rPr>
        <w:t>2.8;,</w:t>
      </w:r>
      <w:proofErr w:type="gramEnd"/>
      <w:r w:rsidRPr="00437A2A">
        <w:rPr>
          <w:lang w:val="en-GB"/>
        </w:rPr>
        <w:t xml:space="preserve"> </w:t>
      </w:r>
      <w:r w:rsidRPr="00437A2A">
        <w:rPr>
          <w:i/>
          <w:iCs/>
          <w:lang w:val="en-GB"/>
        </w:rPr>
        <w:t>p</w:t>
      </w:r>
      <w:r w:rsidRPr="00437A2A">
        <w:rPr>
          <w:lang w:val="en-GB"/>
        </w:rPr>
        <w:t xml:space="preserve"> = 0.046); however no individual food categories were significantly associated with illness on 17 November 2022.</w:t>
      </w:r>
    </w:p>
    <w:p w14:paraId="2B5924D9" w14:textId="77777777" w:rsidR="00EF45A2" w:rsidRPr="00235916" w:rsidRDefault="00EF45A2" w:rsidP="00EF45A2">
      <w:pPr>
        <w:divId w:val="935526654"/>
        <w:rPr>
          <w:vertAlign w:val="superscript"/>
          <w:lang w:val="en-GB"/>
        </w:rPr>
      </w:pPr>
    </w:p>
    <w:p w14:paraId="73499E1D" w14:textId="77777777" w:rsidR="00EF45A2" w:rsidRPr="00EF45A2" w:rsidRDefault="00EF45A2" w:rsidP="00EF45A2">
      <w:pPr>
        <w:pStyle w:val="CDIBoxtext-Green"/>
        <w:divId w:val="935526654"/>
        <w:rPr>
          <w:lang w:val="en-GB"/>
        </w:rPr>
      </w:pPr>
      <w:r w:rsidRPr="00EF45A2">
        <w:rPr>
          <w:lang w:val="en-GB"/>
        </w:rPr>
        <w:t xml:space="preserve">Seven faecal specimens were positive for norovirus. While no food handlers reported illness prior to the outbreak, one food handler reported that their child had had gastroenteritis in the preceding week. Environmental Health inspection of the catering business identified inadequate handwashing facilities. Microbiological testing of seven food samples produced two marginal results: coagulase positive </w:t>
      </w:r>
      <w:r w:rsidRPr="00EF45A2">
        <w:rPr>
          <w:i/>
          <w:iCs/>
          <w:lang w:val="en-GB"/>
        </w:rPr>
        <w:t>Staphylococcus</w:t>
      </w:r>
      <w:r w:rsidRPr="00EF45A2">
        <w:rPr>
          <w:lang w:val="en-GB"/>
        </w:rPr>
        <w:t xml:space="preserve"> in a sandwich egg mix and a high standard plate count in the roast beef.</w:t>
      </w:r>
    </w:p>
    <w:p w14:paraId="04742F46" w14:textId="231DEFB6" w:rsidR="00EF45A2" w:rsidRDefault="00EF45A2" w:rsidP="00EF45A2">
      <w:pPr>
        <w:pStyle w:val="CDIBoxheading-Teal"/>
        <w:divId w:val="935526654"/>
        <w:rPr>
          <w:lang w:val="en-GB"/>
        </w:rPr>
      </w:pPr>
      <w:r>
        <w:rPr>
          <w:lang w:val="en-GB"/>
        </w:rPr>
        <w:t>Discussion</w:t>
      </w:r>
    </w:p>
    <w:p w14:paraId="3BECBE57" w14:textId="430D78FB" w:rsidR="00EF45A2" w:rsidRDefault="00437A2A" w:rsidP="00065A6B">
      <w:pPr>
        <w:pStyle w:val="CDIBoxtext-Green"/>
        <w:divId w:val="935526654"/>
        <w:rPr>
          <w:lang w:val="en-GB"/>
        </w:rPr>
      </w:pPr>
      <w:r w:rsidRPr="00437A2A">
        <w:rPr>
          <w:lang w:val="en-GB"/>
        </w:rPr>
        <w:t xml:space="preserve">This gastroenteritis outbreak was determined to be due to norovirus. The infection source was suspected to be an asymptomatic food handler and inadequate food handling controls allowing contamination of certain foods. This study </w:t>
      </w:r>
      <w:proofErr w:type="gramStart"/>
      <w:r w:rsidRPr="00437A2A">
        <w:rPr>
          <w:lang w:val="en-GB"/>
        </w:rPr>
        <w:t>demonstrates the importance of effective hand hygiene and food handling practices at all times</w:t>
      </w:r>
      <w:proofErr w:type="gramEnd"/>
      <w:r w:rsidRPr="00437A2A">
        <w:rPr>
          <w:lang w:val="en-GB"/>
        </w:rPr>
        <w:t>, given that asymptomatic individuals can excrete and transmit norovirus and these outbreaks can be large and costly.</w:t>
      </w:r>
    </w:p>
    <w:p w14:paraId="196401EB" w14:textId="7FAE6A01" w:rsidR="00620509" w:rsidRPr="006D508B" w:rsidRDefault="00620509" w:rsidP="00437A2A">
      <w:pPr>
        <w:divId w:val="935526654"/>
        <w:rPr>
          <w:lang w:val="en-GB"/>
        </w:rPr>
      </w:pPr>
      <w:r w:rsidRPr="0037146D">
        <w:rPr>
          <w:lang w:val="en-GB"/>
        </w:rPr>
        <w:t xml:space="preserve">Keywords: </w:t>
      </w:r>
      <w:r w:rsidR="00437A2A" w:rsidRPr="00437A2A">
        <w:rPr>
          <w:lang w:val="en-GB"/>
        </w:rPr>
        <w:t>foodborne diseases; gastroenteritis; norovirus; diarrhoea; caterer; outbreak</w:t>
      </w:r>
    </w:p>
    <w:p w14:paraId="45996468" w14:textId="77777777" w:rsidR="008A0736" w:rsidRDefault="008A0736" w:rsidP="008A0736">
      <w:pPr>
        <w:pStyle w:val="Heading1"/>
        <w:divId w:val="935526654"/>
      </w:pPr>
      <w:r>
        <w:t>Introduction</w:t>
      </w:r>
    </w:p>
    <w:p w14:paraId="56F5F1CB" w14:textId="77777777" w:rsidR="00437A2A" w:rsidRPr="00437A2A" w:rsidRDefault="00437A2A" w:rsidP="00437A2A">
      <w:pPr>
        <w:divId w:val="935526654"/>
        <w:rPr>
          <w:lang w:val="en-GB"/>
        </w:rPr>
      </w:pPr>
      <w:r w:rsidRPr="00437A2A">
        <w:rPr>
          <w:lang w:val="en-GB"/>
        </w:rPr>
        <w:t>Foodborne norovirus is a significant public health problem and the most common cause of foodborne gastrointestinal illness in Australia, with an estimated 328,000 cases (90% uncertainty interval [UI]: 89,600–671,000), including 1,530 hospitalisations (90% UI: 823–2,400) yearly circa 2019, resulting in an estimated total cost of AUD $128 million, predominantly due to lost productivity.</w:t>
      </w:r>
      <w:r w:rsidRPr="00437A2A">
        <w:rPr>
          <w:vertAlign w:val="superscript"/>
          <w:lang w:val="en-GB"/>
        </w:rPr>
        <w:t>1</w:t>
      </w:r>
      <w:r w:rsidRPr="00437A2A">
        <w:rPr>
          <w:lang w:val="en-GB"/>
        </w:rPr>
        <w:t xml:space="preserve"> It is highly contagious requiring a small infectious dose. Food can be contaminated by human faeces or </w:t>
      </w:r>
      <w:proofErr w:type="gramStart"/>
      <w:r w:rsidRPr="00437A2A">
        <w:rPr>
          <w:lang w:val="en-GB"/>
        </w:rPr>
        <w:t>vomitus, and</w:t>
      </w:r>
      <w:proofErr w:type="gramEnd"/>
      <w:r w:rsidRPr="00437A2A">
        <w:rPr>
          <w:lang w:val="en-GB"/>
        </w:rPr>
        <w:t xml:space="preserve"> can occur through symptomatic or asymptomatic food handlers excreting virus.</w:t>
      </w:r>
      <w:r w:rsidRPr="00437A2A">
        <w:rPr>
          <w:vertAlign w:val="superscript"/>
          <w:lang w:val="en-GB"/>
        </w:rPr>
        <w:t>2,3,4</w:t>
      </w:r>
      <w:r w:rsidRPr="00437A2A">
        <w:rPr>
          <w:lang w:val="en-GB"/>
        </w:rPr>
        <w:t xml:space="preserve"> Where the source of contamination has been reported in foodborne norovirus outbreaks, 70% were caused by infected food handlers.</w:t>
      </w:r>
      <w:r w:rsidRPr="00437A2A">
        <w:rPr>
          <w:vertAlign w:val="superscript"/>
          <w:lang w:val="en-GB"/>
        </w:rPr>
        <w:t>5,6</w:t>
      </w:r>
    </w:p>
    <w:p w14:paraId="3449DC7A" w14:textId="77777777" w:rsidR="00437A2A" w:rsidRPr="00437A2A" w:rsidRDefault="00437A2A" w:rsidP="00437A2A">
      <w:pPr>
        <w:divId w:val="935526654"/>
        <w:rPr>
          <w:lang w:val="en-GB"/>
        </w:rPr>
      </w:pPr>
      <w:r w:rsidRPr="00437A2A">
        <w:rPr>
          <w:lang w:val="en-GB"/>
        </w:rPr>
        <w:t xml:space="preserve">On 21 November 2022, the Health Protection Service (HPS), Australian Capital Territory Health Directorate (ACT Health) received complaints of gastrointestinal illness from two events with food provided by the same business. An acute response team was formed to conduct an outbreak investigation with the objectives of identifying the cause of the outbreak and preventing further cases. </w:t>
      </w:r>
    </w:p>
    <w:p w14:paraId="2C2568B9" w14:textId="77777777" w:rsidR="008A0736" w:rsidRDefault="008A0736" w:rsidP="008A0736">
      <w:pPr>
        <w:pStyle w:val="Heading1"/>
        <w:divId w:val="935526654"/>
        <w:rPr>
          <w:lang w:val="en-GB"/>
        </w:rPr>
      </w:pPr>
      <w:r>
        <w:rPr>
          <w:lang w:val="en-GB"/>
        </w:rPr>
        <w:t>Methods</w:t>
      </w:r>
    </w:p>
    <w:p w14:paraId="322F3C1A" w14:textId="6A2F311F" w:rsidR="008A0736" w:rsidRDefault="00437A2A" w:rsidP="00437A2A">
      <w:pPr>
        <w:pStyle w:val="Heading2"/>
        <w:divId w:val="935526654"/>
      </w:pPr>
      <w:r w:rsidRPr="00437A2A">
        <w:t>Epidemiological investigation</w:t>
      </w:r>
    </w:p>
    <w:p w14:paraId="484118BC" w14:textId="77777777" w:rsidR="00437A2A" w:rsidRPr="00437A2A" w:rsidRDefault="00437A2A" w:rsidP="00437A2A">
      <w:pPr>
        <w:divId w:val="935526654"/>
        <w:rPr>
          <w:lang w:val="en-GB"/>
        </w:rPr>
      </w:pPr>
      <w:r w:rsidRPr="00437A2A">
        <w:rPr>
          <w:lang w:val="en-GB"/>
        </w:rPr>
        <w:t>A probable case was defined as a person who attended an event between 16 and 18 November 2022 that had food supplied by the catering business, and experienced vomiting and/or diarrhoea and/or abdominal pain, with one or more of nausea, fever, myalgias and lethargy, within 72 hours of food consumption. A confirmed case met the probable case definition and had norovirus detected by nucleic acid amplification testing.</w:t>
      </w:r>
    </w:p>
    <w:p w14:paraId="045EC230" w14:textId="5D7C2A46" w:rsidR="00437A2A" w:rsidRPr="00437A2A" w:rsidRDefault="00437A2A" w:rsidP="00437A2A">
      <w:pPr>
        <w:divId w:val="935526654"/>
        <w:rPr>
          <w:lang w:val="en-GB"/>
        </w:rPr>
      </w:pPr>
      <w:r w:rsidRPr="00437A2A">
        <w:rPr>
          <w:lang w:val="en-GB"/>
        </w:rPr>
        <w:lastRenderedPageBreak/>
        <w:t>Event attendees were emailed an online REDCap</w:t>
      </w:r>
      <w:r w:rsidRPr="00437A2A">
        <w:rPr>
          <w:vertAlign w:val="superscript"/>
          <w:lang w:val="en-GB"/>
        </w:rPr>
        <w:footnoteReference w:id="2"/>
      </w:r>
      <w:r w:rsidRPr="00437A2A">
        <w:rPr>
          <w:lang w:val="en-GB"/>
        </w:rPr>
        <w:t xml:space="preserve"> questionnaire adapted from an existing foodborne-outbreak questionnaire, which included specific food items for each event. Cases of person-to-person transmission, and cases who ate left-over food from the events but were not in attendance, were not included. Active case finding from catered events that did not make a complaint was not performed. </w:t>
      </w:r>
    </w:p>
    <w:p w14:paraId="424C4F67" w14:textId="53C4DFEE" w:rsidR="00437A2A" w:rsidRPr="00437A2A" w:rsidRDefault="00437A2A" w:rsidP="00437A2A">
      <w:pPr>
        <w:divId w:val="935526654"/>
        <w:rPr>
          <w:lang w:val="en-GB"/>
        </w:rPr>
      </w:pPr>
      <w:r w:rsidRPr="00437A2A">
        <w:rPr>
          <w:lang w:val="en-GB"/>
        </w:rPr>
        <w:t>A separate online REDCap questionnaire was sent to catering business employees who worked between 14</w:t>
      </w:r>
      <w:r>
        <w:rPr>
          <w:lang w:val="en-GB"/>
        </w:rPr>
        <w:t> </w:t>
      </w:r>
      <w:r w:rsidRPr="00437A2A">
        <w:rPr>
          <w:lang w:val="en-GB"/>
        </w:rPr>
        <w:t>and 18 November, including questions about days worked, food preparation involvement, whether they ate food made onsite, and whether they had been unwell or had contacts who were recently unwell.</w:t>
      </w:r>
    </w:p>
    <w:p w14:paraId="048F0374" w14:textId="77777777" w:rsidR="00437A2A" w:rsidRPr="00437A2A" w:rsidRDefault="00437A2A" w:rsidP="00437A2A">
      <w:pPr>
        <w:divId w:val="935526654"/>
        <w:rPr>
          <w:lang w:val="en-GB"/>
        </w:rPr>
      </w:pPr>
      <w:r w:rsidRPr="00437A2A">
        <w:rPr>
          <w:lang w:val="en-GB"/>
        </w:rPr>
        <w:t>Descriptive analyses were conducted on data collected from all events and from the business. Retrospective cohort studies were conducted combining events on each of 16 and 17 of November, the days with the highest numbers of event attendees, to identify risk factors for illness on the basis that on each day food was prepared centrally and then distributed to the respective events.</w:t>
      </w:r>
    </w:p>
    <w:p w14:paraId="53FB0C32" w14:textId="7F6E9E5C" w:rsidR="00437A2A" w:rsidRPr="00437A2A" w:rsidRDefault="00437A2A" w:rsidP="00437A2A">
      <w:pPr>
        <w:divId w:val="935526654"/>
        <w:rPr>
          <w:lang w:val="en-GB"/>
        </w:rPr>
      </w:pPr>
      <w:r w:rsidRPr="00437A2A">
        <w:rPr>
          <w:lang w:val="en-GB"/>
        </w:rPr>
        <w:t>Descriptive and analytical analysis was undertaken in R version 4.1.0. The risk ratio (RR) was calculated for food items served on each day, using data from all individuals who attended functions at which the food item was served. The statistical signif</w:t>
      </w:r>
      <w:r>
        <w:rPr>
          <w:lang w:val="en-GB"/>
        </w:rPr>
        <w:t>i</w:t>
      </w:r>
      <w:r w:rsidRPr="00437A2A">
        <w:rPr>
          <w:lang w:val="en-GB"/>
        </w:rPr>
        <w:t xml:space="preserve">cance of the RR was determined using Fisher’s exact and chi squared tests with their associated </w:t>
      </w:r>
      <w:r w:rsidRPr="00437A2A">
        <w:rPr>
          <w:i/>
          <w:iCs/>
          <w:lang w:val="en-GB"/>
        </w:rPr>
        <w:t>p</w:t>
      </w:r>
      <w:r w:rsidRPr="00437A2A">
        <w:rPr>
          <w:lang w:val="en-GB"/>
        </w:rPr>
        <w:t xml:space="preserve"> values. Poisson regression models as described by </w:t>
      </w:r>
      <w:proofErr w:type="spellStart"/>
      <w:r w:rsidRPr="00437A2A">
        <w:rPr>
          <w:lang w:val="en-GB"/>
        </w:rPr>
        <w:t>Mcnutt</w:t>
      </w:r>
      <w:proofErr w:type="spellEnd"/>
      <w:r w:rsidRPr="00437A2A">
        <w:rPr>
          <w:lang w:val="en-GB"/>
        </w:rPr>
        <w:t xml:space="preserve"> et al</w:t>
      </w:r>
      <w:r w:rsidRPr="00437A2A">
        <w:rPr>
          <w:vertAlign w:val="superscript"/>
          <w:lang w:val="en-GB"/>
        </w:rPr>
        <w:t>7</w:t>
      </w:r>
      <w:r w:rsidRPr="00437A2A">
        <w:rPr>
          <w:lang w:val="en-GB"/>
        </w:rPr>
        <w:t xml:space="preserve"> and Naimi et al</w:t>
      </w:r>
      <w:r w:rsidRPr="00437A2A">
        <w:rPr>
          <w:vertAlign w:val="superscript"/>
          <w:lang w:val="en-GB"/>
        </w:rPr>
        <w:t>8</w:t>
      </w:r>
      <w:r w:rsidRPr="00437A2A">
        <w:rPr>
          <w:lang w:val="en-GB"/>
        </w:rPr>
        <w:t xml:space="preserve"> were constructed for each cohort on each day to assess independent association with illness. Risk factors with a </w:t>
      </w:r>
      <w:r w:rsidRPr="00437A2A">
        <w:rPr>
          <w:i/>
          <w:iCs/>
          <w:lang w:val="en-GB"/>
        </w:rPr>
        <w:t>p</w:t>
      </w:r>
      <w:r w:rsidRPr="00437A2A">
        <w:rPr>
          <w:lang w:val="en-GB"/>
        </w:rPr>
        <w:t xml:space="preserve"> value &lt; 0.1 on univariate analysis were included in the multivariable regression analysis. Cost estimates of non-fatal productivity losses for the outbreak were calculated using the Food Standards Australia New Zealand (FSANZ) foodborne disease costing model and the human capital method.</w:t>
      </w:r>
      <w:r w:rsidRPr="00437A2A">
        <w:rPr>
          <w:vertAlign w:val="superscript"/>
          <w:lang w:val="en-GB"/>
        </w:rPr>
        <w:t>9</w:t>
      </w:r>
    </w:p>
    <w:p w14:paraId="610FCC6E" w14:textId="77777777" w:rsidR="00437A2A" w:rsidRPr="00437A2A" w:rsidRDefault="00437A2A" w:rsidP="00437A2A">
      <w:pPr>
        <w:divId w:val="935526654"/>
        <w:rPr>
          <w:lang w:val="en-GB"/>
        </w:rPr>
      </w:pPr>
      <w:r w:rsidRPr="00437A2A">
        <w:rPr>
          <w:lang w:val="en-GB"/>
        </w:rPr>
        <w:t xml:space="preserve">Ethics approval was provided by the Australian National University Human Research Ethics Committee umbrella protocol for use of data in research for Masters of Applied Epidemiology scholars for outbreak investigations (Protocol:2017/909). The investigation was also part of a public health response under the ACT </w:t>
      </w:r>
      <w:r w:rsidRPr="00437A2A">
        <w:rPr>
          <w:i/>
          <w:iCs/>
          <w:lang w:val="en-GB"/>
        </w:rPr>
        <w:t>Public Health Act 1997</w:t>
      </w:r>
      <w:r w:rsidRPr="00437A2A">
        <w:rPr>
          <w:lang w:val="en-GB"/>
        </w:rPr>
        <w:t>.</w:t>
      </w:r>
      <w:r w:rsidRPr="00437A2A">
        <w:rPr>
          <w:vertAlign w:val="superscript"/>
          <w:lang w:val="en-GB"/>
        </w:rPr>
        <w:t>10</w:t>
      </w:r>
    </w:p>
    <w:p w14:paraId="6EE0C8D6" w14:textId="622AF506" w:rsidR="00437A2A" w:rsidRDefault="00672B86" w:rsidP="00672B86">
      <w:pPr>
        <w:pStyle w:val="Heading2"/>
        <w:divId w:val="935526654"/>
      </w:pPr>
      <w:r w:rsidRPr="00672B86">
        <w:t>Environmental Health investigation</w:t>
      </w:r>
    </w:p>
    <w:p w14:paraId="13327FEF" w14:textId="77777777" w:rsidR="00672B86" w:rsidRPr="00672B86" w:rsidRDefault="00672B86" w:rsidP="00672B86">
      <w:pPr>
        <w:divId w:val="935526654"/>
        <w:rPr>
          <w:lang w:val="en-GB"/>
        </w:rPr>
      </w:pPr>
      <w:r w:rsidRPr="00672B86">
        <w:rPr>
          <w:lang w:val="en-GB"/>
        </w:rPr>
        <w:t xml:space="preserve">Environmental Health Officers from the HPS conducted a food safety inspection at the catering premises on 22 November. The inspection included food preparation and cooking areas, food storage facilities, bathrooms and handwashing facilities and food handling practices. Statutory food samples and environmental swabs were collected under the ACT </w:t>
      </w:r>
      <w:r w:rsidRPr="00672B86">
        <w:rPr>
          <w:i/>
          <w:iCs/>
          <w:lang w:val="en-GB"/>
        </w:rPr>
        <w:t>Food Act 2001</w:t>
      </w:r>
      <w:r w:rsidRPr="00672B86">
        <w:rPr>
          <w:lang w:val="en-GB"/>
        </w:rPr>
        <w:t>.</w:t>
      </w:r>
      <w:r w:rsidRPr="00672B86">
        <w:rPr>
          <w:vertAlign w:val="superscript"/>
          <w:lang w:val="en-GB"/>
        </w:rPr>
        <w:t>11</w:t>
      </w:r>
      <w:r w:rsidRPr="00672B86">
        <w:rPr>
          <w:lang w:val="en-GB"/>
        </w:rPr>
        <w:t xml:space="preserve"> During the inspection, Environmental Health Officers interviewed the proprietor and food handlers regarding food handing processes, cleaning and sanitising within the premises, and staff illness.</w:t>
      </w:r>
    </w:p>
    <w:p w14:paraId="60F6FBCE" w14:textId="67AFFBBA" w:rsidR="00437A2A" w:rsidRDefault="00672B86" w:rsidP="00672B86">
      <w:pPr>
        <w:pStyle w:val="Heading2"/>
        <w:divId w:val="935526654"/>
      </w:pPr>
      <w:r>
        <w:lastRenderedPageBreak/>
        <w:t>Laboratory investigation</w:t>
      </w:r>
    </w:p>
    <w:p w14:paraId="2170D7F2" w14:textId="60E61127" w:rsidR="00672B86" w:rsidRPr="00672B86" w:rsidRDefault="00672B86" w:rsidP="00672B86">
      <w:pPr>
        <w:pStyle w:val="Heading3"/>
        <w:divId w:val="935526654"/>
      </w:pPr>
      <w:r>
        <w:t>Clinical samples</w:t>
      </w:r>
    </w:p>
    <w:p w14:paraId="580F0365" w14:textId="77777777" w:rsidR="00672B86" w:rsidRPr="00672B86" w:rsidRDefault="00672B86" w:rsidP="00672B86">
      <w:pPr>
        <w:divId w:val="935526654"/>
        <w:rPr>
          <w:lang w:val="en-GB"/>
        </w:rPr>
      </w:pPr>
      <w:r w:rsidRPr="00672B86">
        <w:rPr>
          <w:lang w:val="en-GB"/>
        </w:rPr>
        <w:t>Faecal specimens collected from symptomatic attendees were tested for viral and bacterial gastrointestinal pathogens by nucleic acid amplification testing (NAAT) and culture. Genotyping was performed at the Serology, Virology and OTDS Laboratories (SAViD) New South Wales (NSW) Health Pathology Randwick.</w:t>
      </w:r>
    </w:p>
    <w:p w14:paraId="35844A2B" w14:textId="4609D7D4" w:rsidR="00437A2A" w:rsidRDefault="00672B86" w:rsidP="00672B86">
      <w:pPr>
        <w:pStyle w:val="Heading3"/>
        <w:divId w:val="935526654"/>
      </w:pPr>
      <w:r>
        <w:t>Food and environmental samples</w:t>
      </w:r>
    </w:p>
    <w:p w14:paraId="4FA9E09E" w14:textId="77777777" w:rsidR="00672B86" w:rsidRPr="00672B86" w:rsidRDefault="00672B86" w:rsidP="00672B86">
      <w:pPr>
        <w:divId w:val="935526654"/>
        <w:rPr>
          <w:lang w:val="en-GB"/>
        </w:rPr>
      </w:pPr>
      <w:r w:rsidRPr="00672B86">
        <w:rPr>
          <w:lang w:val="en-GB"/>
        </w:rPr>
        <w:t xml:space="preserve">Food samples and environmental swabs were processed at the ACT Government Analytical Laboratory (ACTGAL). Food samples were tested for </w:t>
      </w:r>
      <w:r w:rsidRPr="00672B86">
        <w:rPr>
          <w:i/>
          <w:iCs/>
          <w:lang w:val="en-GB"/>
        </w:rPr>
        <w:t>Salmonella</w:t>
      </w:r>
      <w:r w:rsidRPr="00672B86">
        <w:rPr>
          <w:lang w:val="en-GB"/>
        </w:rPr>
        <w:t xml:space="preserve"> spp. and </w:t>
      </w:r>
      <w:r w:rsidRPr="00672B86">
        <w:rPr>
          <w:i/>
          <w:iCs/>
          <w:lang w:val="en-GB"/>
        </w:rPr>
        <w:t>Listeria monocytogenes</w:t>
      </w:r>
      <w:r w:rsidRPr="00672B86">
        <w:rPr>
          <w:lang w:val="en-GB"/>
        </w:rPr>
        <w:t xml:space="preserve"> with a preliminary screening using polymerase chain reaction (PCR) and for the enumeration by culture of </w:t>
      </w:r>
      <w:r w:rsidRPr="00672B86">
        <w:rPr>
          <w:i/>
          <w:iCs/>
          <w:lang w:val="en-GB"/>
        </w:rPr>
        <w:t>Escherichia coli</w:t>
      </w:r>
      <w:r w:rsidRPr="00672B86">
        <w:rPr>
          <w:lang w:val="en-GB"/>
        </w:rPr>
        <w:t xml:space="preserve">, </w:t>
      </w:r>
      <w:r w:rsidRPr="00672B86">
        <w:rPr>
          <w:i/>
          <w:iCs/>
          <w:lang w:val="en-GB"/>
        </w:rPr>
        <w:t>Clostridium perfringens</w:t>
      </w:r>
      <w:r w:rsidRPr="00672B86">
        <w:rPr>
          <w:lang w:val="en-GB"/>
        </w:rPr>
        <w:t xml:space="preserve">, </w:t>
      </w:r>
      <w:r w:rsidRPr="00672B86">
        <w:rPr>
          <w:i/>
          <w:iCs/>
          <w:lang w:val="en-GB"/>
        </w:rPr>
        <w:t>Bacillus cereus</w:t>
      </w:r>
      <w:r w:rsidRPr="00672B86">
        <w:rPr>
          <w:lang w:val="en-GB"/>
        </w:rPr>
        <w:t xml:space="preserve">, coagulase positive </w:t>
      </w:r>
      <w:r w:rsidRPr="00672B86">
        <w:rPr>
          <w:i/>
          <w:iCs/>
          <w:lang w:val="en-GB"/>
        </w:rPr>
        <w:t>Staphylococcus</w:t>
      </w:r>
      <w:r w:rsidRPr="00672B86">
        <w:rPr>
          <w:lang w:val="en-GB"/>
        </w:rPr>
        <w:t xml:space="preserve"> spp. and standard plate count (SPC). Results were compared to the FSANZ Compendium of Microbiological Criteria for Food.</w:t>
      </w:r>
      <w:r w:rsidRPr="00672B86">
        <w:rPr>
          <w:vertAlign w:val="superscript"/>
          <w:lang w:val="en-GB"/>
        </w:rPr>
        <w:t>2</w:t>
      </w:r>
    </w:p>
    <w:p w14:paraId="431AE032" w14:textId="3D407D1B" w:rsidR="00672B86" w:rsidRPr="00672B86" w:rsidRDefault="00672B86" w:rsidP="00672B86">
      <w:pPr>
        <w:divId w:val="935526654"/>
        <w:rPr>
          <w:lang w:val="en-GB"/>
        </w:rPr>
      </w:pPr>
      <w:r w:rsidRPr="00672B86">
        <w:rPr>
          <w:lang w:val="en-GB"/>
        </w:rPr>
        <w:t xml:space="preserve">Environmental samples were tested for </w:t>
      </w:r>
      <w:r w:rsidRPr="00672B86">
        <w:rPr>
          <w:i/>
          <w:iCs/>
          <w:lang w:val="en-GB"/>
        </w:rPr>
        <w:t>L. monocytogenes</w:t>
      </w:r>
      <w:r w:rsidRPr="00672B86">
        <w:rPr>
          <w:lang w:val="en-GB"/>
        </w:rPr>
        <w:t xml:space="preserve"> and </w:t>
      </w:r>
      <w:r w:rsidRPr="00672B86">
        <w:rPr>
          <w:i/>
          <w:iCs/>
          <w:lang w:val="en-GB"/>
        </w:rPr>
        <w:t>Salmonella</w:t>
      </w:r>
      <w:r w:rsidRPr="00672B86">
        <w:rPr>
          <w:lang w:val="en-GB"/>
        </w:rPr>
        <w:t xml:space="preserve"> spp. Preliminary screening for </w:t>
      </w:r>
      <w:r w:rsidRPr="00672B86">
        <w:rPr>
          <w:i/>
          <w:iCs/>
          <w:lang w:val="en-GB"/>
        </w:rPr>
        <w:t>L.</w:t>
      </w:r>
      <w:r>
        <w:rPr>
          <w:i/>
          <w:iCs/>
          <w:lang w:val="en-GB"/>
        </w:rPr>
        <w:t> </w:t>
      </w:r>
      <w:r w:rsidRPr="00672B86">
        <w:rPr>
          <w:i/>
          <w:iCs/>
          <w:lang w:val="en-GB"/>
        </w:rPr>
        <w:t>monocytogenes</w:t>
      </w:r>
      <w:r w:rsidRPr="00672B86">
        <w:rPr>
          <w:lang w:val="en-GB"/>
        </w:rPr>
        <w:t xml:space="preserve"> and </w:t>
      </w:r>
      <w:r w:rsidRPr="00672B86">
        <w:rPr>
          <w:i/>
          <w:iCs/>
          <w:lang w:val="en-GB"/>
        </w:rPr>
        <w:t>Salmonella</w:t>
      </w:r>
      <w:r w:rsidRPr="00672B86">
        <w:rPr>
          <w:lang w:val="en-GB"/>
        </w:rPr>
        <w:t xml:space="preserve"> spp. was undertaken using PCR with all samples also undergoing culture. Testing for norovirus in food and environmental samples could not be performed by ACTGAL and was not conducted.</w:t>
      </w:r>
    </w:p>
    <w:p w14:paraId="59218271" w14:textId="77777777" w:rsidR="008A0736" w:rsidRDefault="008A0736" w:rsidP="008A0736">
      <w:pPr>
        <w:pStyle w:val="Heading1"/>
        <w:divId w:val="935526654"/>
        <w:rPr>
          <w:lang w:val="en-GB"/>
        </w:rPr>
      </w:pPr>
      <w:r>
        <w:rPr>
          <w:lang w:val="en-GB"/>
        </w:rPr>
        <w:t>Results</w:t>
      </w:r>
    </w:p>
    <w:p w14:paraId="75961073" w14:textId="40085103" w:rsidR="008A0736" w:rsidRDefault="00672B86" w:rsidP="00672B86">
      <w:pPr>
        <w:pStyle w:val="Heading2"/>
        <w:divId w:val="935526654"/>
      </w:pPr>
      <w:r w:rsidRPr="00672B86">
        <w:t>Epidemiological investigation</w:t>
      </w:r>
    </w:p>
    <w:p w14:paraId="68BF0D26" w14:textId="715A95AE" w:rsidR="00672B86" w:rsidRDefault="00672B86" w:rsidP="00672B86">
      <w:pPr>
        <w:pStyle w:val="Heading3"/>
        <w:divId w:val="935526654"/>
      </w:pPr>
      <w:r w:rsidRPr="00672B86">
        <w:t>Descriptive analysis</w:t>
      </w:r>
    </w:p>
    <w:p w14:paraId="6D9DEB75" w14:textId="77777777" w:rsidR="00672B86" w:rsidRPr="00672B86" w:rsidRDefault="00672B86" w:rsidP="00672B86">
      <w:pPr>
        <w:divId w:val="935526654"/>
        <w:rPr>
          <w:lang w:val="en-GB"/>
        </w:rPr>
      </w:pPr>
      <w:r w:rsidRPr="00672B86">
        <w:rPr>
          <w:lang w:val="en-GB"/>
        </w:rPr>
        <w:t>A total of 157 persons attended six events with food prepared by the caterer or consumed catered food while working at the business. Of these, 129 (82.8%) completed a questionnaire and there were 64 outbreak cases identified (7 confirmed cases and 57 probable cases). Cost estimates of non-fatal productivity losses for a norovirus outbreak of this size were found to be $23,700.</w:t>
      </w:r>
    </w:p>
    <w:p w14:paraId="5E5ED1E7" w14:textId="77777777" w:rsidR="00672B86" w:rsidRPr="00672B86" w:rsidRDefault="00672B86" w:rsidP="00672B86">
      <w:pPr>
        <w:divId w:val="935526654"/>
        <w:rPr>
          <w:lang w:val="en-GB"/>
        </w:rPr>
      </w:pPr>
      <w:r w:rsidRPr="00672B86">
        <w:rPr>
          <w:lang w:val="en-GB"/>
        </w:rPr>
        <w:t xml:space="preserve">The median age of cases was 47 years (range: 15–69 years); 64% of cases (41/64) were female. The median incubation period was 33 hours (range: 3.8–97.0 hours); the median duration of illness was 68.2 hours (range: 7.3–230.3 hours). </w:t>
      </w:r>
    </w:p>
    <w:p w14:paraId="76A7620E" w14:textId="77777777" w:rsidR="00672B86" w:rsidRPr="00672B86" w:rsidRDefault="00672B86" w:rsidP="00672B86">
      <w:pPr>
        <w:divId w:val="935526654"/>
        <w:rPr>
          <w:lang w:val="en-GB"/>
        </w:rPr>
      </w:pPr>
      <w:r w:rsidRPr="00672B86">
        <w:rPr>
          <w:lang w:val="en-GB"/>
        </w:rPr>
        <w:t xml:space="preserve">Symptoms </w:t>
      </w:r>
      <w:proofErr w:type="gramStart"/>
      <w:r w:rsidRPr="00672B86">
        <w:rPr>
          <w:lang w:val="en-GB"/>
        </w:rPr>
        <w:t>reported most commonly</w:t>
      </w:r>
      <w:proofErr w:type="gramEnd"/>
      <w:r w:rsidRPr="00672B86">
        <w:rPr>
          <w:lang w:val="en-GB"/>
        </w:rPr>
        <w:t xml:space="preserve"> were nausea (51/64; 80%), followed by vomiting (47/64; 73%), diarrhoea (45/64; 70%), and abdominal pain (45/64; 70%). No cases reported blood in the stool. Six cases (9.3%) sought medical attention, including four who presented to the emergency department. There were no hospital admissions or deaths.</w:t>
      </w:r>
    </w:p>
    <w:p w14:paraId="0E69BCCF" w14:textId="77777777" w:rsidR="00672B86" w:rsidRPr="00672B86" w:rsidRDefault="00672B86" w:rsidP="00672B86">
      <w:pPr>
        <w:divId w:val="935526654"/>
        <w:rPr>
          <w:lang w:val="en-GB"/>
        </w:rPr>
      </w:pPr>
      <w:r w:rsidRPr="00672B86">
        <w:rPr>
          <w:lang w:val="en-GB"/>
        </w:rPr>
        <w:t>Figure 1 displays an epidemic curve of cases of outbreak cases.</w:t>
      </w:r>
    </w:p>
    <w:p w14:paraId="30C7AC79" w14:textId="6440D950" w:rsidR="00672B86" w:rsidRDefault="00672B86" w:rsidP="00672B86">
      <w:pPr>
        <w:pStyle w:val="CDITable-Title"/>
        <w:divId w:val="935526654"/>
      </w:pPr>
      <w:r w:rsidRPr="00672B86">
        <w:lastRenderedPageBreak/>
        <w:t>Figure 1: Epidemic curve of gastroenteritis outbreak cases, Canberra, November 2022</w:t>
      </w:r>
    </w:p>
    <w:p w14:paraId="4D103CFC" w14:textId="43C7C371" w:rsidR="00672B86" w:rsidRDefault="00672B86" w:rsidP="00672B86">
      <w:pPr>
        <w:pStyle w:val="CDIFigure-Placeholder"/>
        <w:divId w:val="935526654"/>
      </w:pPr>
      <w:r>
        <w:rPr>
          <w:noProof/>
          <w14:ligatures w14:val="none"/>
        </w:rPr>
        <w:drawing>
          <wp:inline distT="0" distB="0" distL="0" distR="0" wp14:anchorId="61A1ACA0" wp14:editId="63EC42DA">
            <wp:extent cx="6090432" cy="4261473"/>
            <wp:effectExtent l="0" t="0" r="5715" b="6350"/>
            <wp:docPr id="1437296218" name="Picture 1" descr="Epidemic curve of cases of gastroenteritis associated with the outbreak by date and time of symptom onset over 5 days, from the 16th to the 21st of November, by 6 hour intervals. The epidemic curve demonstrates a point source outbreak with the largest number of cases experiencing symptom onset between 6pm and midnight on the 17th November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296218" name="Picture 1" descr="Epidemic curve of cases of gastroenteritis associated with the outbreak by date and time of symptom onset over 5 days, from the 16th to the 21st of November, by 6 hour intervals. The epidemic curve demonstrates a point source outbreak with the largest number of cases experiencing symptom onset between 6pm and midnight on the 17th November 2022."/>
                    <pic:cNvPicPr/>
                  </pic:nvPicPr>
                  <pic:blipFill>
                    <a:blip r:embed="rId9">
                      <a:extLst>
                        <a:ext uri="{28A0092B-C50C-407E-A947-70E740481C1C}">
                          <a14:useLocalDpi xmlns:a14="http://schemas.microsoft.com/office/drawing/2010/main" val="0"/>
                        </a:ext>
                      </a:extLst>
                    </a:blip>
                    <a:stretch>
                      <a:fillRect/>
                    </a:stretch>
                  </pic:blipFill>
                  <pic:spPr>
                    <a:xfrm>
                      <a:off x="0" y="0"/>
                      <a:ext cx="6090432" cy="4261473"/>
                    </a:xfrm>
                    <a:prstGeom prst="rect">
                      <a:avLst/>
                    </a:prstGeom>
                  </pic:spPr>
                </pic:pic>
              </a:graphicData>
            </a:graphic>
          </wp:inline>
        </w:drawing>
      </w:r>
    </w:p>
    <w:p w14:paraId="3FFD81FA" w14:textId="60A62CB6" w:rsidR="00672B86" w:rsidRDefault="00513453" w:rsidP="00513453">
      <w:pPr>
        <w:pStyle w:val="Heading3"/>
        <w:divId w:val="935526654"/>
      </w:pPr>
      <w:r>
        <w:t>Employee survey</w:t>
      </w:r>
    </w:p>
    <w:p w14:paraId="67ECF052" w14:textId="77777777" w:rsidR="00513453" w:rsidRPr="00513453" w:rsidRDefault="00513453" w:rsidP="00513453">
      <w:pPr>
        <w:divId w:val="935526654"/>
        <w:rPr>
          <w:lang w:val="en-GB"/>
        </w:rPr>
      </w:pPr>
      <w:r w:rsidRPr="00513453">
        <w:rPr>
          <w:lang w:val="en-GB"/>
        </w:rPr>
        <w:t>Fourteen employees reported working at the catering premises during the week commencing Monday 14 November 2022. Five employees were involved in food preparation and handling. One food handler, working on Wednesday 16 November and Thursday 17 November, reported having a pre-school child who had vomiting and diarrhoea in the week before the outbreak. This food handler was involved in the preparation of sushi, vegetarian rice paper rolls and sausage rolls on Wednesday; and wraps, sushi, vegetarian rice paper rolls and sausage rolls on Thursday. They reported no symptoms of gastrointestinal illness.</w:t>
      </w:r>
    </w:p>
    <w:p w14:paraId="07CC6278" w14:textId="77777777" w:rsidR="00513453" w:rsidRPr="00513453" w:rsidRDefault="00513453" w:rsidP="00513453">
      <w:pPr>
        <w:divId w:val="935526654"/>
        <w:rPr>
          <w:lang w:val="en-GB"/>
        </w:rPr>
      </w:pPr>
      <w:r w:rsidRPr="00513453">
        <w:rPr>
          <w:lang w:val="en-GB"/>
        </w:rPr>
        <w:t xml:space="preserve">Three employees from the business, one food handler and two drivers, developed gastrointestinal illness during the week of 14 November 2022. Illness onset was from 12 am Friday 18 November to 1 pm Sunday 20 November. None reported sick contacts and all three had consumed food made on the premises. </w:t>
      </w:r>
    </w:p>
    <w:p w14:paraId="040CA4EF" w14:textId="40A3E3F2" w:rsidR="00513453" w:rsidRDefault="00513453" w:rsidP="00513453">
      <w:pPr>
        <w:pStyle w:val="Heading3"/>
        <w:divId w:val="935526654"/>
      </w:pPr>
      <w:r>
        <w:t>Analytical studies</w:t>
      </w:r>
    </w:p>
    <w:p w14:paraId="208DDC62" w14:textId="77777777" w:rsidR="00513453" w:rsidRPr="00513453" w:rsidRDefault="00513453" w:rsidP="00513453">
      <w:pPr>
        <w:divId w:val="935526654"/>
        <w:rPr>
          <w:lang w:val="en-GB"/>
        </w:rPr>
      </w:pPr>
      <w:r w:rsidRPr="00513453">
        <w:rPr>
          <w:lang w:val="en-GB"/>
        </w:rPr>
        <w:t>Retrospective cohort studies were conducted across five events for Wednesday 16 November 2022 and Thursday 17 November 2022 to identify risk factors for illness. Of the 134 attendees across the five events, 110 (82%) completed the food questionnaire; 57/71 attendees (80%) on Wednesday and 83/100 (83%) on Thursday. Two individuals were excluded as they did not provide sufficient information and were unable to be contacted for interview. Just over half of the respondents (55/108; 51%) met the outbreak case definition.</w:t>
      </w:r>
    </w:p>
    <w:p w14:paraId="7D4C54B2" w14:textId="6B18629A" w:rsidR="00513453" w:rsidRPr="00513453" w:rsidRDefault="00513453" w:rsidP="00513453">
      <w:pPr>
        <w:divId w:val="935526654"/>
        <w:rPr>
          <w:lang w:val="en-GB"/>
        </w:rPr>
      </w:pPr>
      <w:r w:rsidRPr="00513453">
        <w:rPr>
          <w:lang w:val="en-GB"/>
        </w:rPr>
        <w:lastRenderedPageBreak/>
        <w:t>The median age of study participants was 45 years (range: 15–67 years) and 69% of participants were female. There was no statistically significant difference in age (</w:t>
      </w:r>
      <w:r w:rsidRPr="00513453">
        <w:rPr>
          <w:i/>
          <w:iCs/>
          <w:lang w:val="en-GB"/>
        </w:rPr>
        <w:t>p</w:t>
      </w:r>
      <w:r w:rsidRPr="00513453">
        <w:rPr>
          <w:lang w:val="en-GB"/>
        </w:rPr>
        <w:t xml:space="preserve"> = 0.59), sex (</w:t>
      </w:r>
      <w:r w:rsidRPr="00513453">
        <w:rPr>
          <w:i/>
          <w:iCs/>
          <w:lang w:val="en-GB"/>
        </w:rPr>
        <w:t>p</w:t>
      </w:r>
      <w:r w:rsidRPr="00513453">
        <w:rPr>
          <w:lang w:val="en-GB"/>
        </w:rPr>
        <w:t xml:space="preserve"> = 0.21) or event attended (</w:t>
      </w:r>
      <w:r w:rsidRPr="00513453">
        <w:rPr>
          <w:i/>
          <w:iCs/>
          <w:lang w:val="en-GB"/>
        </w:rPr>
        <w:t>p</w:t>
      </w:r>
      <w:r>
        <w:rPr>
          <w:i/>
          <w:iCs/>
          <w:lang w:val="en-GB"/>
        </w:rPr>
        <w:t> </w:t>
      </w:r>
      <w:r w:rsidRPr="00513453">
        <w:rPr>
          <w:lang w:val="en-GB"/>
        </w:rPr>
        <w:t>= 0.66) between those who developed illness and those who did not. Those who attended an event on Wednesday 16 November were more likely to develop illness than those who attended on Thursday 17</w:t>
      </w:r>
      <w:r>
        <w:rPr>
          <w:lang w:val="en-GB"/>
        </w:rPr>
        <w:t> </w:t>
      </w:r>
      <w:r w:rsidRPr="00513453">
        <w:rPr>
          <w:lang w:val="en-GB"/>
        </w:rPr>
        <w:t xml:space="preserve">November (RR: 1.7; 95% CI: 1.2–2.5; </w:t>
      </w:r>
      <w:r w:rsidRPr="00513453">
        <w:rPr>
          <w:i/>
          <w:iCs/>
          <w:lang w:val="en-GB"/>
        </w:rPr>
        <w:t>p</w:t>
      </w:r>
      <w:r w:rsidRPr="00513453">
        <w:rPr>
          <w:lang w:val="en-GB"/>
        </w:rPr>
        <w:t xml:space="preserve"> = 0.005).</w:t>
      </w:r>
    </w:p>
    <w:p w14:paraId="5531D8B3" w14:textId="77777777" w:rsidR="001A492C" w:rsidRDefault="00513453" w:rsidP="001A492C">
      <w:pPr>
        <w:rPr>
          <w:lang w:val="en-GB"/>
        </w:rPr>
        <w:sectPr w:rsidR="001A492C" w:rsidSect="00690957">
          <w:headerReference w:type="even" r:id="rId10"/>
          <w:headerReference w:type="default" r:id="rId11"/>
          <w:footerReference w:type="even" r:id="rId12"/>
          <w:footerReference w:type="default" r:id="rId13"/>
          <w:headerReference w:type="first" r:id="rId14"/>
          <w:footerReference w:type="first" r:id="rId15"/>
          <w:footnotePr>
            <w:numFmt w:val="lowerRoman"/>
          </w:footnotePr>
          <w:pgSz w:w="11907" w:h="16840" w:code="9"/>
          <w:pgMar w:top="1134" w:right="1134" w:bottom="1304" w:left="1134" w:header="709" w:footer="567" w:gutter="0"/>
          <w:cols w:space="708"/>
          <w:titlePg/>
          <w:docGrid w:linePitch="360"/>
          <w15:footnoteColumns w:val="1"/>
        </w:sectPr>
      </w:pPr>
      <w:r w:rsidRPr="00513453">
        <w:rPr>
          <w:lang w:val="en-GB"/>
        </w:rPr>
        <w:t>Results of the univariate and multivariable analyses are shown in Tables 1 and 2. On univariate analysis, gastrointestinal illness was significantly associated with the consumption of vegetarian rice paper rolls (RR:</w:t>
      </w:r>
      <w:r>
        <w:rPr>
          <w:lang w:val="en-GB"/>
        </w:rPr>
        <w:t> </w:t>
      </w:r>
      <w:r w:rsidRPr="00513453">
        <w:rPr>
          <w:lang w:val="en-GB"/>
        </w:rPr>
        <w:t xml:space="preserve">1.6; 95% CI: 1.0–2.6; </w:t>
      </w:r>
      <w:r w:rsidRPr="00513453">
        <w:rPr>
          <w:i/>
          <w:iCs/>
          <w:lang w:val="en-GB"/>
        </w:rPr>
        <w:t>p</w:t>
      </w:r>
      <w:r w:rsidRPr="00513453">
        <w:rPr>
          <w:lang w:val="en-GB"/>
        </w:rPr>
        <w:t xml:space="preserve"> = 0.04) on Wednesday 16 November. On Thursday 17 November, any sushi (RR:</w:t>
      </w:r>
      <w:r>
        <w:rPr>
          <w:lang w:val="en-GB"/>
        </w:rPr>
        <w:t> </w:t>
      </w:r>
      <w:r w:rsidRPr="00513453">
        <w:rPr>
          <w:lang w:val="en-GB"/>
        </w:rPr>
        <w:t xml:space="preserve">1.8: 95% CI: 1.2–2.8; </w:t>
      </w:r>
      <w:r w:rsidRPr="00513453">
        <w:rPr>
          <w:i/>
          <w:iCs/>
          <w:lang w:val="en-GB"/>
        </w:rPr>
        <w:t>p</w:t>
      </w:r>
      <w:r w:rsidRPr="00513453">
        <w:rPr>
          <w:lang w:val="en-GB"/>
        </w:rPr>
        <w:t xml:space="preserve"> = 0.02), but particularly teriyaki beef sushi (RR: 2.3; 95% CI: 1.7–3.0; </w:t>
      </w:r>
      <w:r w:rsidRPr="00513453">
        <w:rPr>
          <w:i/>
          <w:iCs/>
          <w:lang w:val="en-GB"/>
        </w:rPr>
        <w:t>p</w:t>
      </w:r>
      <w:r w:rsidRPr="00513453">
        <w:rPr>
          <w:lang w:val="en-GB"/>
        </w:rPr>
        <w:t xml:space="preserve"> = 0.01) and tuna sushi (RR: 1.9; 95% CI: 1.1–2.9; </w:t>
      </w:r>
      <w:r w:rsidRPr="00513453">
        <w:rPr>
          <w:i/>
          <w:iCs/>
          <w:lang w:val="en-GB"/>
        </w:rPr>
        <w:t>p</w:t>
      </w:r>
      <w:r w:rsidRPr="00513453">
        <w:rPr>
          <w:lang w:val="en-GB"/>
        </w:rPr>
        <w:t xml:space="preserve"> = 0.05), as well as roast beef wraps (RR: 1.7; 95% CI: 1.1–2.7; </w:t>
      </w:r>
      <w:r w:rsidRPr="00513453">
        <w:rPr>
          <w:i/>
          <w:iCs/>
          <w:lang w:val="en-GB"/>
        </w:rPr>
        <w:t>p</w:t>
      </w:r>
      <w:r>
        <w:rPr>
          <w:i/>
          <w:iCs/>
          <w:lang w:val="en-GB"/>
        </w:rPr>
        <w:t> </w:t>
      </w:r>
      <w:r w:rsidRPr="00513453">
        <w:rPr>
          <w:lang w:val="en-GB"/>
        </w:rPr>
        <w:t>=</w:t>
      </w:r>
      <w:r>
        <w:rPr>
          <w:lang w:val="en-GB"/>
        </w:rPr>
        <w:t> </w:t>
      </w:r>
      <w:r w:rsidRPr="00513453">
        <w:rPr>
          <w:lang w:val="en-GB"/>
        </w:rPr>
        <w:t xml:space="preserve">0.03) were significantly associated with illness. On multivariable analysis, vegetarian rice paper rolls were independently associated with illness on 16 November 2022 (adjusted RR: 1.7; 95% CI: 1.01–2.8; </w:t>
      </w:r>
      <w:r w:rsidRPr="00513453">
        <w:rPr>
          <w:i/>
          <w:iCs/>
          <w:lang w:val="en-GB"/>
        </w:rPr>
        <w:t>p</w:t>
      </w:r>
      <w:r>
        <w:rPr>
          <w:i/>
          <w:iCs/>
          <w:lang w:val="en-GB"/>
        </w:rPr>
        <w:t> </w:t>
      </w:r>
      <w:r w:rsidRPr="00513453">
        <w:rPr>
          <w:lang w:val="en-GB"/>
        </w:rPr>
        <w:t>=</w:t>
      </w:r>
      <w:r>
        <w:rPr>
          <w:lang w:val="en-GB"/>
        </w:rPr>
        <w:t> </w:t>
      </w:r>
      <w:r w:rsidRPr="00513453">
        <w:rPr>
          <w:lang w:val="en-GB"/>
        </w:rPr>
        <w:t>0.046); however, no foods were independently associated with illness on 17 November 2022.</w:t>
      </w:r>
    </w:p>
    <w:p w14:paraId="78485F60" w14:textId="33B72B71" w:rsidR="001A492C" w:rsidRDefault="001A492C" w:rsidP="001A492C">
      <w:pPr>
        <w:pStyle w:val="CDITable-Titlenospacebefore"/>
      </w:pPr>
      <w:r w:rsidRPr="001A492C">
        <w:lastRenderedPageBreak/>
        <w:t>Table 1: Univariate and multivariable analyses of risk factors for illness at events supplied by a single caterer, Canberra, Wednesday 16 November 2022</w:t>
      </w:r>
    </w:p>
    <w:tbl>
      <w:tblPr>
        <w:tblW w:w="0" w:type="auto"/>
        <w:tblLayout w:type="fixed"/>
        <w:tblCellMar>
          <w:left w:w="0" w:type="dxa"/>
          <w:right w:w="0" w:type="dxa"/>
        </w:tblCellMar>
        <w:tblLook w:val="0000" w:firstRow="0" w:lastRow="0" w:firstColumn="0" w:lastColumn="0" w:noHBand="0" w:noVBand="0"/>
        <w:tblCaption w:val="Table 1: Univariate and multivariable analyses of risk factors for illness at events supplied by a single caterer, Canberra, Wednesday 16 November 2022"/>
        <w:tblDescription w:val="Table 1 shows the risk ratio, 95% confidence interval and p value for the univariate and multivariable analyses of risk factors for illness at events supplied by the caterer on Wednesday 16 November 2022. Risk factors include rice paper rolls and sandwiches with various fillings, as well as sushi, fruit and sweets."/>
      </w:tblPr>
      <w:tblGrid>
        <w:gridCol w:w="2438"/>
        <w:gridCol w:w="992"/>
        <w:gridCol w:w="992"/>
        <w:gridCol w:w="992"/>
        <w:gridCol w:w="992"/>
        <w:gridCol w:w="992"/>
        <w:gridCol w:w="993"/>
        <w:gridCol w:w="992"/>
        <w:gridCol w:w="992"/>
        <w:gridCol w:w="992"/>
        <w:gridCol w:w="992"/>
        <w:gridCol w:w="992"/>
        <w:gridCol w:w="992"/>
      </w:tblGrid>
      <w:tr w:rsidR="001A492C" w:rsidRPr="001A492C" w14:paraId="4DF1A667" w14:textId="77777777" w:rsidTr="001E3AC7">
        <w:trPr>
          <w:trHeight w:val="20"/>
          <w:tblHeader/>
        </w:trPr>
        <w:tc>
          <w:tcPr>
            <w:tcW w:w="2438" w:type="dxa"/>
            <w:vMerge w:val="restart"/>
            <w:shd w:val="clear" w:color="auto" w:fill="033636" w:themeFill="text2"/>
            <w:tcMar>
              <w:top w:w="113" w:type="dxa"/>
              <w:left w:w="113" w:type="dxa"/>
              <w:bottom w:w="113" w:type="dxa"/>
              <w:right w:w="113" w:type="dxa"/>
            </w:tcMar>
            <w:vAlign w:val="bottom"/>
          </w:tcPr>
          <w:p w14:paraId="00603985" w14:textId="77777777" w:rsidR="001A492C" w:rsidRPr="001A492C" w:rsidRDefault="001A492C" w:rsidP="00984EAF">
            <w:pPr>
              <w:pStyle w:val="CDITable-HeaderRowLeft"/>
            </w:pPr>
            <w:proofErr w:type="spellStart"/>
            <w:r w:rsidRPr="001A492C">
              <w:t>Exposure</w:t>
            </w:r>
            <w:r w:rsidRPr="00984EAF">
              <w:rPr>
                <w:vertAlign w:val="superscript"/>
              </w:rPr>
              <w:t>a</w:t>
            </w:r>
            <w:proofErr w:type="spellEnd"/>
          </w:p>
        </w:tc>
        <w:tc>
          <w:tcPr>
            <w:tcW w:w="2976" w:type="dxa"/>
            <w:gridSpan w:val="3"/>
            <w:tcBorders>
              <w:bottom w:val="single" w:sz="6" w:space="0" w:color="FFFFFF" w:themeColor="background1"/>
            </w:tcBorders>
            <w:shd w:val="clear" w:color="auto" w:fill="033636" w:themeFill="text2"/>
            <w:tcMar>
              <w:top w:w="113" w:type="dxa"/>
              <w:left w:w="113" w:type="dxa"/>
              <w:bottom w:w="113" w:type="dxa"/>
              <w:right w:w="113" w:type="dxa"/>
            </w:tcMar>
            <w:vAlign w:val="bottom"/>
          </w:tcPr>
          <w:p w14:paraId="068B61FF" w14:textId="77777777" w:rsidR="001A492C" w:rsidRPr="001A492C" w:rsidRDefault="001A492C" w:rsidP="00984EAF">
            <w:pPr>
              <w:pStyle w:val="CDITable-HeaderRowCentre"/>
            </w:pPr>
            <w:r w:rsidRPr="001A492C">
              <w:t>Exposed</w:t>
            </w:r>
          </w:p>
        </w:tc>
        <w:tc>
          <w:tcPr>
            <w:tcW w:w="2977" w:type="dxa"/>
            <w:gridSpan w:val="3"/>
            <w:tcBorders>
              <w:bottom w:val="single" w:sz="6" w:space="0" w:color="FFFFFF" w:themeColor="background1"/>
            </w:tcBorders>
            <w:shd w:val="clear" w:color="auto" w:fill="033636" w:themeFill="text2"/>
            <w:tcMar>
              <w:top w:w="113" w:type="dxa"/>
              <w:left w:w="113" w:type="dxa"/>
              <w:bottom w:w="113" w:type="dxa"/>
              <w:right w:w="113" w:type="dxa"/>
            </w:tcMar>
            <w:vAlign w:val="bottom"/>
          </w:tcPr>
          <w:p w14:paraId="2C3B3816" w14:textId="77777777" w:rsidR="001A492C" w:rsidRPr="001A492C" w:rsidRDefault="001A492C" w:rsidP="00984EAF">
            <w:pPr>
              <w:pStyle w:val="CDITable-HeaderRowCentre"/>
            </w:pPr>
            <w:r w:rsidRPr="001A492C">
              <w:t>Not exposed</w:t>
            </w:r>
          </w:p>
        </w:tc>
        <w:tc>
          <w:tcPr>
            <w:tcW w:w="2976" w:type="dxa"/>
            <w:gridSpan w:val="3"/>
            <w:tcBorders>
              <w:bottom w:val="single" w:sz="6" w:space="0" w:color="FFFFFF" w:themeColor="background1"/>
            </w:tcBorders>
            <w:shd w:val="clear" w:color="auto" w:fill="033636" w:themeFill="text2"/>
            <w:tcMar>
              <w:top w:w="113" w:type="dxa"/>
              <w:left w:w="113" w:type="dxa"/>
              <w:bottom w:w="113" w:type="dxa"/>
              <w:right w:w="113" w:type="dxa"/>
            </w:tcMar>
            <w:vAlign w:val="bottom"/>
          </w:tcPr>
          <w:p w14:paraId="76E37649" w14:textId="77777777" w:rsidR="001A492C" w:rsidRPr="001A492C" w:rsidRDefault="001A492C" w:rsidP="00984EAF">
            <w:pPr>
              <w:pStyle w:val="CDITable-HeaderRowCentre"/>
            </w:pPr>
            <w:r w:rsidRPr="001A492C">
              <w:t>Univariate analysis</w:t>
            </w:r>
          </w:p>
        </w:tc>
        <w:tc>
          <w:tcPr>
            <w:tcW w:w="2976" w:type="dxa"/>
            <w:gridSpan w:val="3"/>
            <w:tcBorders>
              <w:bottom w:val="single" w:sz="6" w:space="0" w:color="FFFFFF" w:themeColor="background1"/>
            </w:tcBorders>
            <w:shd w:val="clear" w:color="auto" w:fill="033636" w:themeFill="text2"/>
            <w:tcMar>
              <w:top w:w="113" w:type="dxa"/>
              <w:left w:w="113" w:type="dxa"/>
              <w:bottom w:w="113" w:type="dxa"/>
              <w:right w:w="113" w:type="dxa"/>
            </w:tcMar>
            <w:vAlign w:val="bottom"/>
          </w:tcPr>
          <w:p w14:paraId="0F3DB912" w14:textId="77777777" w:rsidR="001A492C" w:rsidRPr="001A492C" w:rsidRDefault="001A492C" w:rsidP="00984EAF">
            <w:pPr>
              <w:pStyle w:val="CDITable-HeaderRowCentre"/>
            </w:pPr>
            <w:r w:rsidRPr="001A492C">
              <w:t>Multivariable analysis</w:t>
            </w:r>
          </w:p>
        </w:tc>
      </w:tr>
      <w:tr w:rsidR="00DE110C" w:rsidRPr="001A492C" w14:paraId="67036BA9" w14:textId="77777777" w:rsidTr="001E3AC7">
        <w:trPr>
          <w:trHeight w:val="20"/>
          <w:tblHeader/>
        </w:trPr>
        <w:tc>
          <w:tcPr>
            <w:tcW w:w="2438" w:type="dxa"/>
            <w:vMerge/>
            <w:tcBorders>
              <w:right w:val="single" w:sz="6" w:space="0" w:color="FFFFFF" w:themeColor="background1"/>
            </w:tcBorders>
            <w:shd w:val="clear" w:color="auto" w:fill="033636" w:themeFill="text2"/>
          </w:tcPr>
          <w:p w14:paraId="4A89A678" w14:textId="77777777" w:rsidR="001A492C" w:rsidRPr="001A492C" w:rsidRDefault="001A492C" w:rsidP="001A492C"/>
        </w:tc>
        <w:tc>
          <w:tcPr>
            <w:tcW w:w="992" w:type="dxa"/>
            <w:tcBorders>
              <w:top w:val="single" w:sz="6" w:space="0" w:color="FFFFFF" w:themeColor="background1"/>
              <w:left w:val="single" w:sz="6" w:space="0" w:color="FFFFFF" w:themeColor="background1"/>
            </w:tcBorders>
            <w:shd w:val="clear" w:color="auto" w:fill="033636" w:themeFill="text2"/>
            <w:tcMar>
              <w:top w:w="113" w:type="dxa"/>
              <w:left w:w="113" w:type="dxa"/>
              <w:bottom w:w="113" w:type="dxa"/>
              <w:right w:w="113" w:type="dxa"/>
            </w:tcMar>
            <w:vAlign w:val="bottom"/>
          </w:tcPr>
          <w:p w14:paraId="1DC41666" w14:textId="77777777" w:rsidR="001A492C" w:rsidRPr="001A492C" w:rsidRDefault="001A492C" w:rsidP="00984EAF">
            <w:pPr>
              <w:pStyle w:val="CDITable-HeaderRowCentre"/>
            </w:pPr>
            <w:r w:rsidRPr="001A492C">
              <w:t>Cases</w:t>
            </w:r>
          </w:p>
        </w:tc>
        <w:tc>
          <w:tcPr>
            <w:tcW w:w="992"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069C0181" w14:textId="77777777" w:rsidR="001A492C" w:rsidRPr="001A492C" w:rsidRDefault="001A492C" w:rsidP="00984EAF">
            <w:pPr>
              <w:pStyle w:val="CDITable-HeaderRowCentre"/>
            </w:pPr>
            <w:r w:rsidRPr="001A492C">
              <w:t>Total</w:t>
            </w:r>
          </w:p>
        </w:tc>
        <w:tc>
          <w:tcPr>
            <w:tcW w:w="992" w:type="dxa"/>
            <w:tcBorders>
              <w:top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29F2590D" w14:textId="77777777" w:rsidR="001A492C" w:rsidRPr="001A492C" w:rsidRDefault="001A492C" w:rsidP="00984EAF">
            <w:pPr>
              <w:pStyle w:val="CDITable-HeaderRowCentre"/>
            </w:pPr>
            <w:r w:rsidRPr="001A492C">
              <w:t>AR (%)</w:t>
            </w:r>
          </w:p>
        </w:tc>
        <w:tc>
          <w:tcPr>
            <w:tcW w:w="992" w:type="dxa"/>
            <w:tcBorders>
              <w:top w:val="single" w:sz="6" w:space="0" w:color="FFFFFF" w:themeColor="background1"/>
              <w:left w:val="single" w:sz="6" w:space="0" w:color="FFFFFF" w:themeColor="background1"/>
            </w:tcBorders>
            <w:shd w:val="clear" w:color="auto" w:fill="033636" w:themeFill="text2"/>
            <w:tcMar>
              <w:top w:w="113" w:type="dxa"/>
              <w:left w:w="113" w:type="dxa"/>
              <w:bottom w:w="113" w:type="dxa"/>
              <w:right w:w="113" w:type="dxa"/>
            </w:tcMar>
            <w:vAlign w:val="bottom"/>
          </w:tcPr>
          <w:p w14:paraId="514F217C" w14:textId="77777777" w:rsidR="001A492C" w:rsidRPr="001A492C" w:rsidRDefault="001A492C" w:rsidP="00984EAF">
            <w:pPr>
              <w:pStyle w:val="CDITable-HeaderRowCentre"/>
            </w:pPr>
            <w:r w:rsidRPr="001A492C">
              <w:t>Cases</w:t>
            </w:r>
          </w:p>
        </w:tc>
        <w:tc>
          <w:tcPr>
            <w:tcW w:w="992"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63C4831D" w14:textId="77777777" w:rsidR="001A492C" w:rsidRPr="001A492C" w:rsidRDefault="001A492C" w:rsidP="00984EAF">
            <w:pPr>
              <w:pStyle w:val="CDITable-HeaderRowCentre"/>
            </w:pPr>
            <w:r w:rsidRPr="001A492C">
              <w:t>Total</w:t>
            </w:r>
          </w:p>
        </w:tc>
        <w:tc>
          <w:tcPr>
            <w:tcW w:w="993" w:type="dxa"/>
            <w:tcBorders>
              <w:top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04E6CD0D" w14:textId="77777777" w:rsidR="001A492C" w:rsidRPr="001A492C" w:rsidRDefault="001A492C" w:rsidP="00984EAF">
            <w:pPr>
              <w:pStyle w:val="CDITable-HeaderRowCentre"/>
            </w:pPr>
            <w:r w:rsidRPr="001A492C">
              <w:t>AR (%)</w:t>
            </w:r>
          </w:p>
        </w:tc>
        <w:tc>
          <w:tcPr>
            <w:tcW w:w="992" w:type="dxa"/>
            <w:tcBorders>
              <w:top w:val="single" w:sz="6" w:space="0" w:color="FFFFFF" w:themeColor="background1"/>
              <w:left w:val="single" w:sz="6" w:space="0" w:color="FFFFFF" w:themeColor="background1"/>
            </w:tcBorders>
            <w:shd w:val="clear" w:color="auto" w:fill="033636" w:themeFill="text2"/>
            <w:tcMar>
              <w:top w:w="113" w:type="dxa"/>
              <w:left w:w="113" w:type="dxa"/>
              <w:bottom w:w="113" w:type="dxa"/>
              <w:right w:w="113" w:type="dxa"/>
            </w:tcMar>
            <w:vAlign w:val="bottom"/>
          </w:tcPr>
          <w:p w14:paraId="25551336" w14:textId="77777777" w:rsidR="001A492C" w:rsidRPr="001A492C" w:rsidRDefault="001A492C" w:rsidP="00984EAF">
            <w:pPr>
              <w:pStyle w:val="CDITable-HeaderRowCentre"/>
            </w:pPr>
            <w:r w:rsidRPr="001A492C">
              <w:t>RR</w:t>
            </w:r>
          </w:p>
        </w:tc>
        <w:tc>
          <w:tcPr>
            <w:tcW w:w="992"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4BCECDE4" w14:textId="77777777" w:rsidR="001A492C" w:rsidRPr="001A492C" w:rsidRDefault="001A492C" w:rsidP="00984EAF">
            <w:pPr>
              <w:pStyle w:val="CDITable-HeaderRowCentre"/>
            </w:pPr>
            <w:r w:rsidRPr="001A492C">
              <w:t>95% CI</w:t>
            </w:r>
          </w:p>
        </w:tc>
        <w:tc>
          <w:tcPr>
            <w:tcW w:w="992" w:type="dxa"/>
            <w:tcBorders>
              <w:top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57BD8469" w14:textId="77777777" w:rsidR="001A492C" w:rsidRPr="00984EAF" w:rsidRDefault="001A492C" w:rsidP="00984EAF">
            <w:pPr>
              <w:pStyle w:val="CDITable-HeaderRowCentre"/>
              <w:rPr>
                <w:i/>
                <w:iCs/>
              </w:rPr>
            </w:pPr>
            <w:r w:rsidRPr="00984EAF">
              <w:rPr>
                <w:i/>
                <w:iCs/>
              </w:rPr>
              <w:t>p</w:t>
            </w:r>
          </w:p>
        </w:tc>
        <w:tc>
          <w:tcPr>
            <w:tcW w:w="992" w:type="dxa"/>
            <w:tcBorders>
              <w:top w:val="single" w:sz="6" w:space="0" w:color="FFFFFF" w:themeColor="background1"/>
              <w:left w:val="single" w:sz="6" w:space="0" w:color="FFFFFF" w:themeColor="background1"/>
            </w:tcBorders>
            <w:shd w:val="clear" w:color="auto" w:fill="033636" w:themeFill="text2"/>
            <w:tcMar>
              <w:top w:w="113" w:type="dxa"/>
              <w:left w:w="113" w:type="dxa"/>
              <w:bottom w:w="113" w:type="dxa"/>
              <w:right w:w="113" w:type="dxa"/>
            </w:tcMar>
            <w:vAlign w:val="bottom"/>
          </w:tcPr>
          <w:p w14:paraId="1C8D8F28" w14:textId="77777777" w:rsidR="001A492C" w:rsidRPr="001A492C" w:rsidRDefault="001A492C" w:rsidP="00984EAF">
            <w:pPr>
              <w:pStyle w:val="CDITable-HeaderRowCentre"/>
            </w:pPr>
            <w:proofErr w:type="spellStart"/>
            <w:r w:rsidRPr="001A492C">
              <w:t>aRR</w:t>
            </w:r>
            <w:proofErr w:type="spellEnd"/>
          </w:p>
        </w:tc>
        <w:tc>
          <w:tcPr>
            <w:tcW w:w="992"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7DB9B14B" w14:textId="77777777" w:rsidR="001A492C" w:rsidRPr="001A492C" w:rsidRDefault="001A492C" w:rsidP="00984EAF">
            <w:pPr>
              <w:pStyle w:val="CDITable-HeaderRowCentre"/>
            </w:pPr>
            <w:r w:rsidRPr="001A492C">
              <w:t>95% CI</w:t>
            </w:r>
          </w:p>
        </w:tc>
        <w:tc>
          <w:tcPr>
            <w:tcW w:w="992"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57D37A30" w14:textId="77777777" w:rsidR="001A492C" w:rsidRPr="00984EAF" w:rsidRDefault="001A492C" w:rsidP="00984EAF">
            <w:pPr>
              <w:pStyle w:val="CDITable-HeaderRowCentre"/>
              <w:rPr>
                <w:i/>
                <w:iCs/>
              </w:rPr>
            </w:pPr>
            <w:r w:rsidRPr="00984EAF">
              <w:rPr>
                <w:i/>
                <w:iCs/>
              </w:rPr>
              <w:t>p</w:t>
            </w:r>
          </w:p>
        </w:tc>
      </w:tr>
      <w:tr w:rsidR="001A492C" w:rsidRPr="00984EAF" w14:paraId="631E9FA0" w14:textId="77777777" w:rsidTr="00984EAF">
        <w:trPr>
          <w:trHeight w:val="20"/>
        </w:trPr>
        <w:tc>
          <w:tcPr>
            <w:tcW w:w="14343" w:type="dxa"/>
            <w:gridSpan w:val="13"/>
            <w:shd w:val="clear" w:color="auto" w:fill="C5FFEF" w:themeFill="background2" w:themeFillTint="33"/>
            <w:tcMar>
              <w:top w:w="113" w:type="dxa"/>
              <w:left w:w="113" w:type="dxa"/>
              <w:bottom w:w="113" w:type="dxa"/>
              <w:right w:w="113" w:type="dxa"/>
            </w:tcMar>
            <w:vAlign w:val="center"/>
          </w:tcPr>
          <w:p w14:paraId="094625A3" w14:textId="77777777" w:rsidR="001A492C" w:rsidRPr="00984EAF" w:rsidRDefault="001A492C" w:rsidP="00984EAF">
            <w:pPr>
              <w:pStyle w:val="CDITable-RowLeft"/>
              <w:rPr>
                <w:b/>
                <w:bCs/>
              </w:rPr>
            </w:pPr>
            <w:r w:rsidRPr="00984EAF">
              <w:rPr>
                <w:b/>
                <w:bCs/>
              </w:rPr>
              <w:t>Rice paper rolls</w:t>
            </w:r>
          </w:p>
        </w:tc>
      </w:tr>
      <w:tr w:rsidR="001A492C" w:rsidRPr="001A492C" w14:paraId="5701B553" w14:textId="77777777" w:rsidTr="001E3AC7">
        <w:trPr>
          <w:trHeight w:val="20"/>
        </w:trPr>
        <w:tc>
          <w:tcPr>
            <w:tcW w:w="2438" w:type="dxa"/>
            <w:tcMar>
              <w:top w:w="113" w:type="dxa"/>
              <w:left w:w="113" w:type="dxa"/>
              <w:bottom w:w="113" w:type="dxa"/>
              <w:right w:w="113" w:type="dxa"/>
            </w:tcMar>
            <w:vAlign w:val="center"/>
          </w:tcPr>
          <w:p w14:paraId="28DEACEB" w14:textId="77777777" w:rsidR="001A492C" w:rsidRPr="001A492C" w:rsidRDefault="001A492C" w:rsidP="00984EAF">
            <w:pPr>
              <w:pStyle w:val="CDITable-RowLeft"/>
            </w:pPr>
            <w:r w:rsidRPr="001A492C">
              <w:t xml:space="preserve">Vegetarian </w:t>
            </w:r>
          </w:p>
        </w:tc>
        <w:tc>
          <w:tcPr>
            <w:tcW w:w="992" w:type="dxa"/>
            <w:tcMar>
              <w:top w:w="113" w:type="dxa"/>
              <w:left w:w="113" w:type="dxa"/>
              <w:bottom w:w="113" w:type="dxa"/>
              <w:right w:w="113" w:type="dxa"/>
            </w:tcMar>
            <w:vAlign w:val="center"/>
          </w:tcPr>
          <w:p w14:paraId="019C8D84" w14:textId="77777777" w:rsidR="001A492C" w:rsidRPr="001A492C" w:rsidRDefault="001A492C" w:rsidP="00984EAF">
            <w:pPr>
              <w:pStyle w:val="CDITable-RowCentre"/>
            </w:pPr>
            <w:r w:rsidRPr="001A492C">
              <w:t>17</w:t>
            </w:r>
          </w:p>
        </w:tc>
        <w:tc>
          <w:tcPr>
            <w:tcW w:w="992" w:type="dxa"/>
            <w:tcMar>
              <w:top w:w="113" w:type="dxa"/>
              <w:left w:w="113" w:type="dxa"/>
              <w:bottom w:w="113" w:type="dxa"/>
              <w:right w:w="113" w:type="dxa"/>
            </w:tcMar>
            <w:vAlign w:val="center"/>
          </w:tcPr>
          <w:p w14:paraId="6DEDA1C5" w14:textId="77777777" w:rsidR="001A492C" w:rsidRPr="001A492C" w:rsidRDefault="001A492C" w:rsidP="00984EAF">
            <w:pPr>
              <w:pStyle w:val="CDITable-RowCentre"/>
            </w:pPr>
            <w:r w:rsidRPr="001A492C">
              <w:t>22</w:t>
            </w:r>
          </w:p>
        </w:tc>
        <w:tc>
          <w:tcPr>
            <w:tcW w:w="992" w:type="dxa"/>
            <w:tcMar>
              <w:top w:w="113" w:type="dxa"/>
              <w:left w:w="113" w:type="dxa"/>
              <w:bottom w:w="113" w:type="dxa"/>
              <w:right w:w="113" w:type="dxa"/>
            </w:tcMar>
            <w:vAlign w:val="center"/>
          </w:tcPr>
          <w:p w14:paraId="5063F1D6" w14:textId="77777777" w:rsidR="001A492C" w:rsidRPr="001A492C" w:rsidRDefault="001A492C" w:rsidP="00984EAF">
            <w:pPr>
              <w:pStyle w:val="CDITable-RowCentre"/>
            </w:pPr>
            <w:r w:rsidRPr="001A492C">
              <w:t>77.3</w:t>
            </w:r>
          </w:p>
        </w:tc>
        <w:tc>
          <w:tcPr>
            <w:tcW w:w="992" w:type="dxa"/>
            <w:tcMar>
              <w:top w:w="113" w:type="dxa"/>
              <w:left w:w="113" w:type="dxa"/>
              <w:bottom w:w="113" w:type="dxa"/>
              <w:right w:w="113" w:type="dxa"/>
            </w:tcMar>
            <w:vAlign w:val="center"/>
          </w:tcPr>
          <w:p w14:paraId="25417A15" w14:textId="77777777" w:rsidR="001A492C" w:rsidRPr="001A492C" w:rsidRDefault="001A492C" w:rsidP="00984EAF">
            <w:pPr>
              <w:pStyle w:val="CDITable-RowCentre"/>
            </w:pPr>
            <w:r w:rsidRPr="001A492C">
              <w:t>11</w:t>
            </w:r>
          </w:p>
        </w:tc>
        <w:tc>
          <w:tcPr>
            <w:tcW w:w="992" w:type="dxa"/>
            <w:tcMar>
              <w:top w:w="113" w:type="dxa"/>
              <w:left w:w="113" w:type="dxa"/>
              <w:bottom w:w="113" w:type="dxa"/>
              <w:right w:w="113" w:type="dxa"/>
            </w:tcMar>
            <w:vAlign w:val="center"/>
          </w:tcPr>
          <w:p w14:paraId="5BF53B36" w14:textId="77777777" w:rsidR="001A492C" w:rsidRPr="001A492C" w:rsidRDefault="001A492C" w:rsidP="00984EAF">
            <w:pPr>
              <w:pStyle w:val="CDITable-RowCentre"/>
            </w:pPr>
            <w:r w:rsidRPr="001A492C">
              <w:t>23</w:t>
            </w:r>
          </w:p>
        </w:tc>
        <w:tc>
          <w:tcPr>
            <w:tcW w:w="993" w:type="dxa"/>
            <w:tcMar>
              <w:top w:w="113" w:type="dxa"/>
              <w:left w:w="113" w:type="dxa"/>
              <w:bottom w:w="113" w:type="dxa"/>
              <w:right w:w="113" w:type="dxa"/>
            </w:tcMar>
            <w:vAlign w:val="center"/>
          </w:tcPr>
          <w:p w14:paraId="69ED80AC" w14:textId="77777777" w:rsidR="001A492C" w:rsidRPr="001A492C" w:rsidRDefault="001A492C" w:rsidP="00984EAF">
            <w:pPr>
              <w:pStyle w:val="CDITable-RowCentre"/>
            </w:pPr>
            <w:r w:rsidRPr="001A492C">
              <w:t>47.8</w:t>
            </w:r>
          </w:p>
        </w:tc>
        <w:tc>
          <w:tcPr>
            <w:tcW w:w="992" w:type="dxa"/>
            <w:tcMar>
              <w:top w:w="113" w:type="dxa"/>
              <w:left w:w="113" w:type="dxa"/>
              <w:bottom w:w="113" w:type="dxa"/>
              <w:right w:w="113" w:type="dxa"/>
            </w:tcMar>
            <w:vAlign w:val="center"/>
          </w:tcPr>
          <w:p w14:paraId="576E4291" w14:textId="77777777" w:rsidR="001A492C" w:rsidRPr="001A492C" w:rsidRDefault="001A492C" w:rsidP="00984EAF">
            <w:pPr>
              <w:pStyle w:val="CDITable-RowCentre"/>
            </w:pPr>
            <w:r w:rsidRPr="001A492C">
              <w:t>1.6</w:t>
            </w:r>
          </w:p>
        </w:tc>
        <w:tc>
          <w:tcPr>
            <w:tcW w:w="992" w:type="dxa"/>
            <w:tcMar>
              <w:top w:w="113" w:type="dxa"/>
              <w:left w:w="113" w:type="dxa"/>
              <w:bottom w:w="113" w:type="dxa"/>
              <w:right w:w="113" w:type="dxa"/>
            </w:tcMar>
            <w:vAlign w:val="center"/>
          </w:tcPr>
          <w:p w14:paraId="3BFC86B9" w14:textId="77777777" w:rsidR="001A492C" w:rsidRPr="001A492C" w:rsidRDefault="001A492C" w:rsidP="00984EAF">
            <w:pPr>
              <w:pStyle w:val="CDITable-RowCentre"/>
            </w:pPr>
            <w:r w:rsidRPr="001A492C">
              <w:t>1.0–3.0</w:t>
            </w:r>
          </w:p>
        </w:tc>
        <w:tc>
          <w:tcPr>
            <w:tcW w:w="992" w:type="dxa"/>
            <w:tcMar>
              <w:top w:w="113" w:type="dxa"/>
              <w:left w:w="113" w:type="dxa"/>
              <w:bottom w:w="113" w:type="dxa"/>
              <w:right w:w="113" w:type="dxa"/>
            </w:tcMar>
            <w:vAlign w:val="center"/>
          </w:tcPr>
          <w:p w14:paraId="61C93D13" w14:textId="77777777" w:rsidR="001A492C" w:rsidRPr="001A492C" w:rsidRDefault="001A492C" w:rsidP="00984EAF">
            <w:pPr>
              <w:pStyle w:val="CDITable-RowCentre"/>
            </w:pPr>
            <w:r w:rsidRPr="001A492C">
              <w:t>0.04</w:t>
            </w:r>
          </w:p>
        </w:tc>
        <w:tc>
          <w:tcPr>
            <w:tcW w:w="992" w:type="dxa"/>
            <w:tcMar>
              <w:top w:w="113" w:type="dxa"/>
              <w:left w:w="113" w:type="dxa"/>
              <w:bottom w:w="113" w:type="dxa"/>
              <w:right w:w="113" w:type="dxa"/>
            </w:tcMar>
            <w:vAlign w:val="center"/>
          </w:tcPr>
          <w:p w14:paraId="0038E1E4" w14:textId="77777777" w:rsidR="001A492C" w:rsidRPr="001A492C" w:rsidRDefault="001A492C" w:rsidP="00984EAF">
            <w:pPr>
              <w:pStyle w:val="CDITable-RowCentre"/>
            </w:pPr>
            <w:r w:rsidRPr="001A492C">
              <w:t>1.7</w:t>
            </w:r>
          </w:p>
        </w:tc>
        <w:tc>
          <w:tcPr>
            <w:tcW w:w="992" w:type="dxa"/>
            <w:tcMar>
              <w:top w:w="113" w:type="dxa"/>
              <w:left w:w="113" w:type="dxa"/>
              <w:bottom w:w="113" w:type="dxa"/>
              <w:right w:w="113" w:type="dxa"/>
            </w:tcMar>
            <w:vAlign w:val="center"/>
          </w:tcPr>
          <w:p w14:paraId="213E8F18" w14:textId="77777777" w:rsidR="001A492C" w:rsidRPr="001A492C" w:rsidRDefault="001A492C" w:rsidP="00984EAF">
            <w:pPr>
              <w:pStyle w:val="CDITable-RowCentre"/>
            </w:pPr>
            <w:r w:rsidRPr="001A492C">
              <w:t>1.01–2.8</w:t>
            </w:r>
          </w:p>
        </w:tc>
        <w:tc>
          <w:tcPr>
            <w:tcW w:w="992" w:type="dxa"/>
            <w:tcMar>
              <w:top w:w="113" w:type="dxa"/>
              <w:left w:w="113" w:type="dxa"/>
              <w:bottom w:w="113" w:type="dxa"/>
              <w:right w:w="113" w:type="dxa"/>
            </w:tcMar>
            <w:vAlign w:val="center"/>
          </w:tcPr>
          <w:p w14:paraId="78044616" w14:textId="77777777" w:rsidR="001A492C" w:rsidRPr="001A492C" w:rsidRDefault="001A492C" w:rsidP="00984EAF">
            <w:pPr>
              <w:pStyle w:val="CDITable-RowCentre"/>
            </w:pPr>
            <w:r w:rsidRPr="001A492C">
              <w:t>0.046</w:t>
            </w:r>
          </w:p>
        </w:tc>
      </w:tr>
      <w:tr w:rsidR="001A492C" w:rsidRPr="001A492C" w14:paraId="7F6FF942" w14:textId="77777777" w:rsidTr="001E3AC7">
        <w:trPr>
          <w:trHeight w:val="20"/>
        </w:trPr>
        <w:tc>
          <w:tcPr>
            <w:tcW w:w="2438" w:type="dxa"/>
            <w:tcBorders>
              <w:bottom w:val="single" w:sz="6" w:space="0" w:color="033636" w:themeColor="text2"/>
            </w:tcBorders>
            <w:tcMar>
              <w:top w:w="113" w:type="dxa"/>
              <w:left w:w="113" w:type="dxa"/>
              <w:bottom w:w="113" w:type="dxa"/>
              <w:right w:w="113" w:type="dxa"/>
            </w:tcMar>
            <w:vAlign w:val="center"/>
          </w:tcPr>
          <w:p w14:paraId="77960A64" w14:textId="77777777" w:rsidR="001A492C" w:rsidRPr="001A492C" w:rsidRDefault="001A492C" w:rsidP="00984EAF">
            <w:pPr>
              <w:pStyle w:val="CDITable-RowLeft"/>
            </w:pPr>
            <w:r w:rsidRPr="001A492C">
              <w:t xml:space="preserve">Chicken </w:t>
            </w:r>
          </w:p>
        </w:tc>
        <w:tc>
          <w:tcPr>
            <w:tcW w:w="992" w:type="dxa"/>
            <w:tcBorders>
              <w:bottom w:val="single" w:sz="6" w:space="0" w:color="033636" w:themeColor="text2"/>
            </w:tcBorders>
            <w:tcMar>
              <w:top w:w="113" w:type="dxa"/>
              <w:left w:w="113" w:type="dxa"/>
              <w:bottom w:w="113" w:type="dxa"/>
              <w:right w:w="113" w:type="dxa"/>
            </w:tcMar>
            <w:vAlign w:val="center"/>
          </w:tcPr>
          <w:p w14:paraId="521984FB" w14:textId="77777777" w:rsidR="001A492C" w:rsidRPr="001A492C" w:rsidRDefault="001A492C" w:rsidP="00984EAF">
            <w:pPr>
              <w:pStyle w:val="CDITable-RowCentre"/>
            </w:pPr>
            <w:r w:rsidRPr="001A492C">
              <w:t>5</w:t>
            </w:r>
          </w:p>
        </w:tc>
        <w:tc>
          <w:tcPr>
            <w:tcW w:w="992" w:type="dxa"/>
            <w:tcBorders>
              <w:bottom w:val="single" w:sz="6" w:space="0" w:color="033636" w:themeColor="text2"/>
            </w:tcBorders>
            <w:tcMar>
              <w:top w:w="113" w:type="dxa"/>
              <w:left w:w="113" w:type="dxa"/>
              <w:bottom w:w="113" w:type="dxa"/>
              <w:right w:w="113" w:type="dxa"/>
            </w:tcMar>
            <w:vAlign w:val="center"/>
          </w:tcPr>
          <w:p w14:paraId="380F6554" w14:textId="77777777" w:rsidR="001A492C" w:rsidRPr="001A492C" w:rsidRDefault="001A492C" w:rsidP="00984EAF">
            <w:pPr>
              <w:pStyle w:val="CDITable-RowCentre"/>
            </w:pPr>
            <w:r w:rsidRPr="001A492C">
              <w:t>7</w:t>
            </w:r>
          </w:p>
        </w:tc>
        <w:tc>
          <w:tcPr>
            <w:tcW w:w="992" w:type="dxa"/>
            <w:tcBorders>
              <w:bottom w:val="single" w:sz="6" w:space="0" w:color="033636" w:themeColor="text2"/>
            </w:tcBorders>
            <w:tcMar>
              <w:top w:w="113" w:type="dxa"/>
              <w:left w:w="113" w:type="dxa"/>
              <w:bottom w:w="113" w:type="dxa"/>
              <w:right w:w="113" w:type="dxa"/>
            </w:tcMar>
            <w:vAlign w:val="center"/>
          </w:tcPr>
          <w:p w14:paraId="41AF20AE" w14:textId="77777777" w:rsidR="001A492C" w:rsidRPr="001A492C" w:rsidRDefault="001A492C" w:rsidP="00984EAF">
            <w:pPr>
              <w:pStyle w:val="CDITable-RowCentre"/>
            </w:pPr>
            <w:r w:rsidRPr="001A492C">
              <w:t>71.4</w:t>
            </w:r>
          </w:p>
        </w:tc>
        <w:tc>
          <w:tcPr>
            <w:tcW w:w="992" w:type="dxa"/>
            <w:tcBorders>
              <w:bottom w:val="single" w:sz="6" w:space="0" w:color="033636" w:themeColor="text2"/>
            </w:tcBorders>
            <w:tcMar>
              <w:top w:w="113" w:type="dxa"/>
              <w:left w:w="113" w:type="dxa"/>
              <w:bottom w:w="113" w:type="dxa"/>
              <w:right w:w="113" w:type="dxa"/>
            </w:tcMar>
            <w:vAlign w:val="center"/>
          </w:tcPr>
          <w:p w14:paraId="768592E4" w14:textId="77777777" w:rsidR="001A492C" w:rsidRPr="001A492C" w:rsidRDefault="001A492C" w:rsidP="00984EAF">
            <w:pPr>
              <w:pStyle w:val="CDITable-RowCentre"/>
            </w:pPr>
            <w:r w:rsidRPr="001A492C">
              <w:t>9</w:t>
            </w:r>
          </w:p>
        </w:tc>
        <w:tc>
          <w:tcPr>
            <w:tcW w:w="992" w:type="dxa"/>
            <w:tcBorders>
              <w:bottom w:val="single" w:sz="6" w:space="0" w:color="033636" w:themeColor="text2"/>
            </w:tcBorders>
            <w:tcMar>
              <w:top w:w="113" w:type="dxa"/>
              <w:left w:w="113" w:type="dxa"/>
              <w:bottom w:w="113" w:type="dxa"/>
              <w:right w:w="113" w:type="dxa"/>
            </w:tcMar>
            <w:vAlign w:val="center"/>
          </w:tcPr>
          <w:p w14:paraId="7D61334E" w14:textId="77777777" w:rsidR="001A492C" w:rsidRPr="001A492C" w:rsidRDefault="001A492C" w:rsidP="00984EAF">
            <w:pPr>
              <w:pStyle w:val="CDITable-RowCentre"/>
            </w:pPr>
            <w:r w:rsidRPr="001A492C">
              <w:t>16</w:t>
            </w:r>
          </w:p>
        </w:tc>
        <w:tc>
          <w:tcPr>
            <w:tcW w:w="993" w:type="dxa"/>
            <w:tcBorders>
              <w:bottom w:val="single" w:sz="6" w:space="0" w:color="033636" w:themeColor="text2"/>
            </w:tcBorders>
            <w:tcMar>
              <w:top w:w="113" w:type="dxa"/>
              <w:left w:w="113" w:type="dxa"/>
              <w:bottom w:w="113" w:type="dxa"/>
              <w:right w:w="113" w:type="dxa"/>
            </w:tcMar>
            <w:vAlign w:val="center"/>
          </w:tcPr>
          <w:p w14:paraId="14FA288E" w14:textId="77777777" w:rsidR="001A492C" w:rsidRPr="001A492C" w:rsidRDefault="001A492C" w:rsidP="00984EAF">
            <w:pPr>
              <w:pStyle w:val="CDITable-RowCentre"/>
            </w:pPr>
            <w:r w:rsidRPr="001A492C">
              <w:t>56.3</w:t>
            </w:r>
          </w:p>
        </w:tc>
        <w:tc>
          <w:tcPr>
            <w:tcW w:w="992" w:type="dxa"/>
            <w:tcBorders>
              <w:bottom w:val="single" w:sz="6" w:space="0" w:color="033636" w:themeColor="text2"/>
            </w:tcBorders>
            <w:tcMar>
              <w:top w:w="113" w:type="dxa"/>
              <w:left w:w="113" w:type="dxa"/>
              <w:bottom w:w="113" w:type="dxa"/>
              <w:right w:w="113" w:type="dxa"/>
            </w:tcMar>
            <w:vAlign w:val="center"/>
          </w:tcPr>
          <w:p w14:paraId="5BF294BE" w14:textId="77777777" w:rsidR="001A492C" w:rsidRPr="001A492C" w:rsidRDefault="001A492C" w:rsidP="00984EAF">
            <w:pPr>
              <w:pStyle w:val="CDITable-RowCentre"/>
            </w:pPr>
            <w:r w:rsidRPr="001A492C">
              <w:t>1.3</w:t>
            </w:r>
          </w:p>
        </w:tc>
        <w:tc>
          <w:tcPr>
            <w:tcW w:w="992" w:type="dxa"/>
            <w:tcBorders>
              <w:bottom w:val="single" w:sz="6" w:space="0" w:color="033636" w:themeColor="text2"/>
            </w:tcBorders>
            <w:tcMar>
              <w:top w:w="113" w:type="dxa"/>
              <w:left w:w="113" w:type="dxa"/>
              <w:bottom w:w="113" w:type="dxa"/>
              <w:right w:w="113" w:type="dxa"/>
            </w:tcMar>
            <w:vAlign w:val="center"/>
          </w:tcPr>
          <w:p w14:paraId="04412FF8" w14:textId="77777777" w:rsidR="001A492C" w:rsidRPr="001A492C" w:rsidRDefault="001A492C" w:rsidP="00984EAF">
            <w:pPr>
              <w:pStyle w:val="CDITable-RowCentre"/>
            </w:pPr>
            <w:r w:rsidRPr="001A492C">
              <w:t>0.7–2.4</w:t>
            </w:r>
          </w:p>
        </w:tc>
        <w:tc>
          <w:tcPr>
            <w:tcW w:w="992" w:type="dxa"/>
            <w:tcBorders>
              <w:bottom w:val="single" w:sz="6" w:space="0" w:color="033636" w:themeColor="text2"/>
            </w:tcBorders>
            <w:tcMar>
              <w:top w:w="113" w:type="dxa"/>
              <w:left w:w="113" w:type="dxa"/>
              <w:bottom w:w="113" w:type="dxa"/>
              <w:right w:w="113" w:type="dxa"/>
            </w:tcMar>
            <w:vAlign w:val="center"/>
          </w:tcPr>
          <w:p w14:paraId="53D9E2A2" w14:textId="77777777" w:rsidR="001A492C" w:rsidRPr="001A492C" w:rsidRDefault="001A492C" w:rsidP="00984EAF">
            <w:pPr>
              <w:pStyle w:val="CDITable-RowCentre"/>
            </w:pPr>
            <w:r w:rsidRPr="001A492C">
              <w:t>0.66</w:t>
            </w:r>
          </w:p>
        </w:tc>
        <w:tc>
          <w:tcPr>
            <w:tcW w:w="992" w:type="dxa"/>
            <w:tcBorders>
              <w:bottom w:val="single" w:sz="6" w:space="0" w:color="033636" w:themeColor="text2"/>
            </w:tcBorders>
            <w:tcMar>
              <w:top w:w="113" w:type="dxa"/>
              <w:left w:w="113" w:type="dxa"/>
              <w:bottom w:w="113" w:type="dxa"/>
              <w:right w:w="113" w:type="dxa"/>
            </w:tcMar>
            <w:vAlign w:val="center"/>
          </w:tcPr>
          <w:p w14:paraId="68D83AC3" w14:textId="77777777" w:rsidR="001A492C" w:rsidRPr="001A492C" w:rsidRDefault="001A492C" w:rsidP="00984EAF">
            <w:pPr>
              <w:pStyle w:val="CDITable-RowCentre"/>
            </w:pPr>
          </w:p>
        </w:tc>
        <w:tc>
          <w:tcPr>
            <w:tcW w:w="992" w:type="dxa"/>
            <w:tcBorders>
              <w:bottom w:val="single" w:sz="6" w:space="0" w:color="033636" w:themeColor="text2"/>
            </w:tcBorders>
            <w:tcMar>
              <w:top w:w="113" w:type="dxa"/>
              <w:left w:w="113" w:type="dxa"/>
              <w:bottom w:w="113" w:type="dxa"/>
              <w:right w:w="113" w:type="dxa"/>
            </w:tcMar>
            <w:vAlign w:val="center"/>
          </w:tcPr>
          <w:p w14:paraId="4A5349D8" w14:textId="77777777" w:rsidR="001A492C" w:rsidRPr="001A492C" w:rsidRDefault="001A492C" w:rsidP="00984EAF">
            <w:pPr>
              <w:pStyle w:val="CDITable-RowCentre"/>
            </w:pPr>
          </w:p>
        </w:tc>
        <w:tc>
          <w:tcPr>
            <w:tcW w:w="992" w:type="dxa"/>
            <w:tcBorders>
              <w:bottom w:val="single" w:sz="6" w:space="0" w:color="033636" w:themeColor="text2"/>
            </w:tcBorders>
            <w:tcMar>
              <w:top w:w="113" w:type="dxa"/>
              <w:left w:w="113" w:type="dxa"/>
              <w:bottom w:w="113" w:type="dxa"/>
              <w:right w:w="113" w:type="dxa"/>
            </w:tcMar>
            <w:vAlign w:val="center"/>
          </w:tcPr>
          <w:p w14:paraId="7844B8BC" w14:textId="77777777" w:rsidR="001A492C" w:rsidRPr="001A492C" w:rsidRDefault="001A492C" w:rsidP="00984EAF">
            <w:pPr>
              <w:pStyle w:val="CDITable-RowCentre"/>
            </w:pPr>
          </w:p>
        </w:tc>
      </w:tr>
      <w:tr w:rsidR="001A492C" w:rsidRPr="00984EAF" w14:paraId="565B69B8" w14:textId="77777777" w:rsidTr="001E3AC7">
        <w:trPr>
          <w:trHeight w:val="20"/>
        </w:trPr>
        <w:tc>
          <w:tcPr>
            <w:tcW w:w="14343" w:type="dxa"/>
            <w:gridSpan w:val="13"/>
            <w:tcBorders>
              <w:top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05BA47A6" w14:textId="77777777" w:rsidR="001A492C" w:rsidRPr="00984EAF" w:rsidRDefault="001A492C" w:rsidP="00984EAF">
            <w:pPr>
              <w:pStyle w:val="CDITable-RowLeft"/>
              <w:rPr>
                <w:b/>
                <w:bCs/>
              </w:rPr>
            </w:pPr>
            <w:r w:rsidRPr="00984EAF">
              <w:rPr>
                <w:b/>
                <w:bCs/>
              </w:rPr>
              <w:t>Sandwiches/baguettes</w:t>
            </w:r>
          </w:p>
        </w:tc>
      </w:tr>
      <w:tr w:rsidR="001A492C" w:rsidRPr="001A492C" w14:paraId="4996D6CB" w14:textId="77777777" w:rsidTr="001A492C">
        <w:trPr>
          <w:trHeight w:val="20"/>
        </w:trPr>
        <w:tc>
          <w:tcPr>
            <w:tcW w:w="2438" w:type="dxa"/>
            <w:tcMar>
              <w:top w:w="113" w:type="dxa"/>
              <w:left w:w="113" w:type="dxa"/>
              <w:bottom w:w="113" w:type="dxa"/>
              <w:right w:w="113" w:type="dxa"/>
            </w:tcMar>
            <w:vAlign w:val="center"/>
          </w:tcPr>
          <w:p w14:paraId="0BF39D73" w14:textId="77777777" w:rsidR="001A492C" w:rsidRPr="001A492C" w:rsidRDefault="001A492C" w:rsidP="00984EAF">
            <w:pPr>
              <w:pStyle w:val="CDITable-RowLeft"/>
            </w:pPr>
            <w:r w:rsidRPr="001A492C">
              <w:t xml:space="preserve">Roast beef </w:t>
            </w:r>
          </w:p>
        </w:tc>
        <w:tc>
          <w:tcPr>
            <w:tcW w:w="992" w:type="dxa"/>
            <w:tcMar>
              <w:top w:w="113" w:type="dxa"/>
              <w:left w:w="113" w:type="dxa"/>
              <w:bottom w:w="113" w:type="dxa"/>
              <w:right w:w="113" w:type="dxa"/>
            </w:tcMar>
            <w:vAlign w:val="center"/>
          </w:tcPr>
          <w:p w14:paraId="1BEC03F2" w14:textId="77777777" w:rsidR="001A492C" w:rsidRPr="001A492C" w:rsidRDefault="001A492C" w:rsidP="00984EAF">
            <w:pPr>
              <w:pStyle w:val="CDITable-RowCentre"/>
            </w:pPr>
            <w:r w:rsidRPr="001A492C">
              <w:t>10</w:t>
            </w:r>
          </w:p>
        </w:tc>
        <w:tc>
          <w:tcPr>
            <w:tcW w:w="992" w:type="dxa"/>
            <w:tcMar>
              <w:top w:w="113" w:type="dxa"/>
              <w:left w:w="113" w:type="dxa"/>
              <w:bottom w:w="113" w:type="dxa"/>
              <w:right w:w="113" w:type="dxa"/>
            </w:tcMar>
            <w:vAlign w:val="center"/>
          </w:tcPr>
          <w:p w14:paraId="4860131C" w14:textId="77777777" w:rsidR="001A492C" w:rsidRPr="001A492C" w:rsidRDefault="001A492C" w:rsidP="00984EAF">
            <w:pPr>
              <w:pStyle w:val="CDITable-RowCentre"/>
            </w:pPr>
            <w:r w:rsidRPr="001A492C">
              <w:t>17</w:t>
            </w:r>
          </w:p>
        </w:tc>
        <w:tc>
          <w:tcPr>
            <w:tcW w:w="992" w:type="dxa"/>
            <w:tcMar>
              <w:top w:w="113" w:type="dxa"/>
              <w:left w:w="113" w:type="dxa"/>
              <w:bottom w:w="113" w:type="dxa"/>
              <w:right w:w="113" w:type="dxa"/>
            </w:tcMar>
            <w:vAlign w:val="center"/>
          </w:tcPr>
          <w:p w14:paraId="28C9FBDB" w14:textId="77777777" w:rsidR="001A492C" w:rsidRPr="001A492C" w:rsidRDefault="001A492C" w:rsidP="00984EAF">
            <w:pPr>
              <w:pStyle w:val="CDITable-RowCentre"/>
            </w:pPr>
            <w:r w:rsidRPr="001A492C">
              <w:t>58.8</w:t>
            </w:r>
          </w:p>
        </w:tc>
        <w:tc>
          <w:tcPr>
            <w:tcW w:w="992" w:type="dxa"/>
            <w:tcMar>
              <w:top w:w="113" w:type="dxa"/>
              <w:left w:w="113" w:type="dxa"/>
              <w:bottom w:w="113" w:type="dxa"/>
              <w:right w:w="113" w:type="dxa"/>
            </w:tcMar>
            <w:vAlign w:val="center"/>
          </w:tcPr>
          <w:p w14:paraId="67CFBC80" w14:textId="77777777" w:rsidR="001A492C" w:rsidRPr="001A492C" w:rsidRDefault="001A492C" w:rsidP="00984EAF">
            <w:pPr>
              <w:pStyle w:val="CDITable-RowCentre"/>
            </w:pPr>
            <w:r w:rsidRPr="001A492C">
              <w:t>24</w:t>
            </w:r>
          </w:p>
        </w:tc>
        <w:tc>
          <w:tcPr>
            <w:tcW w:w="992" w:type="dxa"/>
            <w:tcMar>
              <w:top w:w="113" w:type="dxa"/>
              <w:left w:w="113" w:type="dxa"/>
              <w:bottom w:w="113" w:type="dxa"/>
              <w:right w:w="113" w:type="dxa"/>
            </w:tcMar>
            <w:vAlign w:val="center"/>
          </w:tcPr>
          <w:p w14:paraId="277F6054" w14:textId="77777777" w:rsidR="001A492C" w:rsidRPr="001A492C" w:rsidRDefault="001A492C" w:rsidP="00984EAF">
            <w:pPr>
              <w:pStyle w:val="CDITable-RowCentre"/>
            </w:pPr>
            <w:r w:rsidRPr="001A492C">
              <w:t>35</w:t>
            </w:r>
          </w:p>
        </w:tc>
        <w:tc>
          <w:tcPr>
            <w:tcW w:w="993" w:type="dxa"/>
            <w:tcMar>
              <w:top w:w="113" w:type="dxa"/>
              <w:left w:w="113" w:type="dxa"/>
              <w:bottom w:w="113" w:type="dxa"/>
              <w:right w:w="113" w:type="dxa"/>
            </w:tcMar>
            <w:vAlign w:val="center"/>
          </w:tcPr>
          <w:p w14:paraId="5C9F4A95" w14:textId="77777777" w:rsidR="001A492C" w:rsidRPr="001A492C" w:rsidRDefault="001A492C" w:rsidP="00984EAF">
            <w:pPr>
              <w:pStyle w:val="CDITable-RowCentre"/>
            </w:pPr>
            <w:r w:rsidRPr="001A492C">
              <w:t>68.6</w:t>
            </w:r>
          </w:p>
        </w:tc>
        <w:tc>
          <w:tcPr>
            <w:tcW w:w="992" w:type="dxa"/>
            <w:tcMar>
              <w:top w:w="113" w:type="dxa"/>
              <w:left w:w="113" w:type="dxa"/>
              <w:bottom w:w="113" w:type="dxa"/>
              <w:right w:w="113" w:type="dxa"/>
            </w:tcMar>
            <w:vAlign w:val="center"/>
          </w:tcPr>
          <w:p w14:paraId="65FD2EB0" w14:textId="77777777" w:rsidR="001A492C" w:rsidRPr="001A492C" w:rsidRDefault="001A492C" w:rsidP="00984EAF">
            <w:pPr>
              <w:pStyle w:val="CDITable-RowCentre"/>
            </w:pPr>
            <w:r w:rsidRPr="001A492C">
              <w:t>0.9</w:t>
            </w:r>
          </w:p>
        </w:tc>
        <w:tc>
          <w:tcPr>
            <w:tcW w:w="992" w:type="dxa"/>
            <w:tcMar>
              <w:top w:w="113" w:type="dxa"/>
              <w:left w:w="113" w:type="dxa"/>
              <w:bottom w:w="113" w:type="dxa"/>
              <w:right w:w="113" w:type="dxa"/>
            </w:tcMar>
            <w:vAlign w:val="center"/>
          </w:tcPr>
          <w:p w14:paraId="3CF4F9BE" w14:textId="77777777" w:rsidR="001A492C" w:rsidRPr="001A492C" w:rsidRDefault="001A492C" w:rsidP="00984EAF">
            <w:pPr>
              <w:pStyle w:val="CDITable-RowCentre"/>
            </w:pPr>
            <w:r w:rsidRPr="001A492C">
              <w:t>0.5–1.4</w:t>
            </w:r>
          </w:p>
        </w:tc>
        <w:tc>
          <w:tcPr>
            <w:tcW w:w="992" w:type="dxa"/>
            <w:tcMar>
              <w:top w:w="113" w:type="dxa"/>
              <w:left w:w="113" w:type="dxa"/>
              <w:bottom w:w="113" w:type="dxa"/>
              <w:right w:w="113" w:type="dxa"/>
            </w:tcMar>
            <w:vAlign w:val="center"/>
          </w:tcPr>
          <w:p w14:paraId="1D1DC5C4" w14:textId="77777777" w:rsidR="001A492C" w:rsidRPr="001A492C" w:rsidRDefault="001A492C" w:rsidP="00984EAF">
            <w:pPr>
              <w:pStyle w:val="CDITable-RowCentre"/>
            </w:pPr>
            <w:r w:rsidRPr="001A492C">
              <w:t>0.49</w:t>
            </w:r>
          </w:p>
        </w:tc>
        <w:tc>
          <w:tcPr>
            <w:tcW w:w="992" w:type="dxa"/>
            <w:tcMar>
              <w:top w:w="113" w:type="dxa"/>
              <w:left w:w="113" w:type="dxa"/>
              <w:bottom w:w="113" w:type="dxa"/>
              <w:right w:w="113" w:type="dxa"/>
            </w:tcMar>
            <w:vAlign w:val="center"/>
          </w:tcPr>
          <w:p w14:paraId="1A38BE95" w14:textId="77777777" w:rsidR="001A492C" w:rsidRPr="001A492C" w:rsidRDefault="001A492C" w:rsidP="00984EAF">
            <w:pPr>
              <w:pStyle w:val="CDITable-RowCentre"/>
            </w:pPr>
          </w:p>
        </w:tc>
        <w:tc>
          <w:tcPr>
            <w:tcW w:w="992" w:type="dxa"/>
            <w:tcMar>
              <w:top w:w="113" w:type="dxa"/>
              <w:left w:w="113" w:type="dxa"/>
              <w:bottom w:w="113" w:type="dxa"/>
              <w:right w:w="113" w:type="dxa"/>
            </w:tcMar>
            <w:vAlign w:val="center"/>
          </w:tcPr>
          <w:p w14:paraId="0DF40D75" w14:textId="77777777" w:rsidR="001A492C" w:rsidRPr="001A492C" w:rsidRDefault="001A492C" w:rsidP="00984EAF">
            <w:pPr>
              <w:pStyle w:val="CDITable-RowCentre"/>
            </w:pPr>
          </w:p>
        </w:tc>
        <w:tc>
          <w:tcPr>
            <w:tcW w:w="992" w:type="dxa"/>
            <w:tcMar>
              <w:top w:w="113" w:type="dxa"/>
              <w:left w:w="113" w:type="dxa"/>
              <w:bottom w:w="113" w:type="dxa"/>
              <w:right w:w="113" w:type="dxa"/>
            </w:tcMar>
            <w:vAlign w:val="center"/>
          </w:tcPr>
          <w:p w14:paraId="66B5053D" w14:textId="77777777" w:rsidR="001A492C" w:rsidRPr="001A492C" w:rsidRDefault="001A492C" w:rsidP="00984EAF">
            <w:pPr>
              <w:pStyle w:val="CDITable-RowCentre"/>
            </w:pPr>
          </w:p>
        </w:tc>
      </w:tr>
      <w:tr w:rsidR="001A492C" w:rsidRPr="001A492C" w14:paraId="68E0CE6D" w14:textId="77777777" w:rsidTr="001A492C">
        <w:trPr>
          <w:trHeight w:val="20"/>
        </w:trPr>
        <w:tc>
          <w:tcPr>
            <w:tcW w:w="2438" w:type="dxa"/>
            <w:tcMar>
              <w:top w:w="113" w:type="dxa"/>
              <w:left w:w="113" w:type="dxa"/>
              <w:bottom w:w="113" w:type="dxa"/>
              <w:right w:w="113" w:type="dxa"/>
            </w:tcMar>
            <w:vAlign w:val="center"/>
          </w:tcPr>
          <w:p w14:paraId="3ABAF739" w14:textId="77777777" w:rsidR="001A492C" w:rsidRPr="001A492C" w:rsidRDefault="001A492C" w:rsidP="00984EAF">
            <w:pPr>
              <w:pStyle w:val="CDITable-RowLeft"/>
            </w:pPr>
            <w:r w:rsidRPr="001A492C">
              <w:t>Roast vegetable</w:t>
            </w:r>
          </w:p>
        </w:tc>
        <w:tc>
          <w:tcPr>
            <w:tcW w:w="992" w:type="dxa"/>
            <w:tcMar>
              <w:top w:w="113" w:type="dxa"/>
              <w:left w:w="113" w:type="dxa"/>
              <w:bottom w:w="113" w:type="dxa"/>
              <w:right w:w="113" w:type="dxa"/>
            </w:tcMar>
            <w:vAlign w:val="center"/>
          </w:tcPr>
          <w:p w14:paraId="31AB1881" w14:textId="77777777" w:rsidR="001A492C" w:rsidRPr="001A492C" w:rsidRDefault="001A492C" w:rsidP="00984EAF">
            <w:pPr>
              <w:pStyle w:val="CDITable-RowCentre"/>
            </w:pPr>
            <w:r w:rsidRPr="001A492C">
              <w:t>3</w:t>
            </w:r>
          </w:p>
        </w:tc>
        <w:tc>
          <w:tcPr>
            <w:tcW w:w="992" w:type="dxa"/>
            <w:tcMar>
              <w:top w:w="113" w:type="dxa"/>
              <w:left w:w="113" w:type="dxa"/>
              <w:bottom w:w="113" w:type="dxa"/>
              <w:right w:w="113" w:type="dxa"/>
            </w:tcMar>
            <w:vAlign w:val="center"/>
          </w:tcPr>
          <w:p w14:paraId="0BD7DBB1" w14:textId="77777777" w:rsidR="001A492C" w:rsidRPr="001A492C" w:rsidRDefault="001A492C" w:rsidP="00984EAF">
            <w:pPr>
              <w:pStyle w:val="CDITable-RowCentre"/>
            </w:pPr>
            <w:r w:rsidRPr="001A492C">
              <w:t>5</w:t>
            </w:r>
          </w:p>
        </w:tc>
        <w:tc>
          <w:tcPr>
            <w:tcW w:w="992" w:type="dxa"/>
            <w:tcMar>
              <w:top w:w="113" w:type="dxa"/>
              <w:left w:w="113" w:type="dxa"/>
              <w:bottom w:w="113" w:type="dxa"/>
              <w:right w:w="113" w:type="dxa"/>
            </w:tcMar>
            <w:vAlign w:val="center"/>
          </w:tcPr>
          <w:p w14:paraId="7313CC12" w14:textId="77777777" w:rsidR="001A492C" w:rsidRPr="001A492C" w:rsidRDefault="001A492C" w:rsidP="00984EAF">
            <w:pPr>
              <w:pStyle w:val="CDITable-RowCentre"/>
            </w:pPr>
            <w:r w:rsidRPr="001A492C">
              <w:t>60.0</w:t>
            </w:r>
          </w:p>
        </w:tc>
        <w:tc>
          <w:tcPr>
            <w:tcW w:w="992" w:type="dxa"/>
            <w:tcMar>
              <w:top w:w="113" w:type="dxa"/>
              <w:left w:w="113" w:type="dxa"/>
              <w:bottom w:w="113" w:type="dxa"/>
              <w:right w:w="113" w:type="dxa"/>
            </w:tcMar>
            <w:vAlign w:val="center"/>
          </w:tcPr>
          <w:p w14:paraId="5988C646" w14:textId="77777777" w:rsidR="001A492C" w:rsidRPr="001A492C" w:rsidRDefault="001A492C" w:rsidP="00984EAF">
            <w:pPr>
              <w:pStyle w:val="CDITable-RowCentre"/>
            </w:pPr>
            <w:r w:rsidRPr="001A492C">
              <w:t>31</w:t>
            </w:r>
          </w:p>
        </w:tc>
        <w:tc>
          <w:tcPr>
            <w:tcW w:w="992" w:type="dxa"/>
            <w:tcMar>
              <w:top w:w="113" w:type="dxa"/>
              <w:left w:w="113" w:type="dxa"/>
              <w:bottom w:w="113" w:type="dxa"/>
              <w:right w:w="113" w:type="dxa"/>
            </w:tcMar>
            <w:vAlign w:val="center"/>
          </w:tcPr>
          <w:p w14:paraId="6F2B4F75" w14:textId="77777777" w:rsidR="001A492C" w:rsidRPr="001A492C" w:rsidRDefault="001A492C" w:rsidP="00984EAF">
            <w:pPr>
              <w:pStyle w:val="CDITable-RowCentre"/>
            </w:pPr>
            <w:r w:rsidRPr="001A492C">
              <w:t>47</w:t>
            </w:r>
          </w:p>
        </w:tc>
        <w:tc>
          <w:tcPr>
            <w:tcW w:w="993" w:type="dxa"/>
            <w:tcMar>
              <w:top w:w="113" w:type="dxa"/>
              <w:left w:w="113" w:type="dxa"/>
              <w:bottom w:w="113" w:type="dxa"/>
              <w:right w:w="113" w:type="dxa"/>
            </w:tcMar>
            <w:vAlign w:val="center"/>
          </w:tcPr>
          <w:p w14:paraId="6B942826" w14:textId="77777777" w:rsidR="001A492C" w:rsidRPr="001A492C" w:rsidRDefault="001A492C" w:rsidP="00984EAF">
            <w:pPr>
              <w:pStyle w:val="CDITable-RowCentre"/>
            </w:pPr>
            <w:r w:rsidRPr="001A492C">
              <w:t>65.9</w:t>
            </w:r>
          </w:p>
        </w:tc>
        <w:tc>
          <w:tcPr>
            <w:tcW w:w="992" w:type="dxa"/>
            <w:tcMar>
              <w:top w:w="113" w:type="dxa"/>
              <w:left w:w="113" w:type="dxa"/>
              <w:bottom w:w="113" w:type="dxa"/>
              <w:right w:w="113" w:type="dxa"/>
            </w:tcMar>
            <w:vAlign w:val="center"/>
          </w:tcPr>
          <w:p w14:paraId="2DD52255" w14:textId="77777777" w:rsidR="001A492C" w:rsidRPr="001A492C" w:rsidRDefault="001A492C" w:rsidP="00984EAF">
            <w:pPr>
              <w:pStyle w:val="CDITable-RowCentre"/>
            </w:pPr>
            <w:r w:rsidRPr="001A492C">
              <w:t>0.9</w:t>
            </w:r>
          </w:p>
        </w:tc>
        <w:tc>
          <w:tcPr>
            <w:tcW w:w="992" w:type="dxa"/>
            <w:tcMar>
              <w:top w:w="113" w:type="dxa"/>
              <w:left w:w="113" w:type="dxa"/>
              <w:bottom w:w="113" w:type="dxa"/>
              <w:right w:w="113" w:type="dxa"/>
            </w:tcMar>
            <w:vAlign w:val="center"/>
          </w:tcPr>
          <w:p w14:paraId="6492D957" w14:textId="77777777" w:rsidR="001A492C" w:rsidRPr="001A492C" w:rsidRDefault="001A492C" w:rsidP="00984EAF">
            <w:pPr>
              <w:pStyle w:val="CDITable-RowCentre"/>
            </w:pPr>
            <w:r w:rsidRPr="001A492C">
              <w:t>0.4–1.9</w:t>
            </w:r>
          </w:p>
        </w:tc>
        <w:tc>
          <w:tcPr>
            <w:tcW w:w="992" w:type="dxa"/>
            <w:tcMar>
              <w:top w:w="113" w:type="dxa"/>
              <w:left w:w="113" w:type="dxa"/>
              <w:bottom w:w="113" w:type="dxa"/>
              <w:right w:w="113" w:type="dxa"/>
            </w:tcMar>
            <w:vAlign w:val="center"/>
          </w:tcPr>
          <w:p w14:paraId="70A8BCDD" w14:textId="77777777" w:rsidR="001A492C" w:rsidRPr="001A492C" w:rsidRDefault="001A492C" w:rsidP="00984EAF">
            <w:pPr>
              <w:pStyle w:val="CDITable-RowCentre"/>
            </w:pPr>
            <w:r w:rsidRPr="001A492C">
              <w:t>1</w:t>
            </w:r>
          </w:p>
        </w:tc>
        <w:tc>
          <w:tcPr>
            <w:tcW w:w="992" w:type="dxa"/>
            <w:tcMar>
              <w:top w:w="113" w:type="dxa"/>
              <w:left w:w="113" w:type="dxa"/>
              <w:bottom w:w="113" w:type="dxa"/>
              <w:right w:w="113" w:type="dxa"/>
            </w:tcMar>
            <w:vAlign w:val="center"/>
          </w:tcPr>
          <w:p w14:paraId="14625775" w14:textId="77777777" w:rsidR="001A492C" w:rsidRPr="001A492C" w:rsidRDefault="001A492C" w:rsidP="00984EAF">
            <w:pPr>
              <w:pStyle w:val="CDITable-RowCentre"/>
            </w:pPr>
          </w:p>
        </w:tc>
        <w:tc>
          <w:tcPr>
            <w:tcW w:w="992" w:type="dxa"/>
            <w:tcMar>
              <w:top w:w="113" w:type="dxa"/>
              <w:left w:w="113" w:type="dxa"/>
              <w:bottom w:w="113" w:type="dxa"/>
              <w:right w:w="113" w:type="dxa"/>
            </w:tcMar>
            <w:vAlign w:val="center"/>
          </w:tcPr>
          <w:p w14:paraId="1BC1F002" w14:textId="77777777" w:rsidR="001A492C" w:rsidRPr="001A492C" w:rsidRDefault="001A492C" w:rsidP="00984EAF">
            <w:pPr>
              <w:pStyle w:val="CDITable-RowCentre"/>
            </w:pPr>
          </w:p>
        </w:tc>
        <w:tc>
          <w:tcPr>
            <w:tcW w:w="992" w:type="dxa"/>
            <w:tcMar>
              <w:top w:w="113" w:type="dxa"/>
              <w:left w:w="113" w:type="dxa"/>
              <w:bottom w:w="113" w:type="dxa"/>
              <w:right w:w="113" w:type="dxa"/>
            </w:tcMar>
            <w:vAlign w:val="center"/>
          </w:tcPr>
          <w:p w14:paraId="7A2141A8" w14:textId="77777777" w:rsidR="001A492C" w:rsidRPr="001A492C" w:rsidRDefault="001A492C" w:rsidP="00984EAF">
            <w:pPr>
              <w:pStyle w:val="CDITable-RowCentre"/>
            </w:pPr>
          </w:p>
        </w:tc>
      </w:tr>
      <w:tr w:rsidR="001A492C" w:rsidRPr="001A492C" w14:paraId="726B1E11" w14:textId="77777777" w:rsidTr="001A492C">
        <w:trPr>
          <w:trHeight w:val="20"/>
        </w:trPr>
        <w:tc>
          <w:tcPr>
            <w:tcW w:w="2438" w:type="dxa"/>
            <w:tcMar>
              <w:top w:w="113" w:type="dxa"/>
              <w:left w:w="113" w:type="dxa"/>
              <w:bottom w:w="113" w:type="dxa"/>
              <w:right w:w="113" w:type="dxa"/>
            </w:tcMar>
            <w:vAlign w:val="center"/>
          </w:tcPr>
          <w:p w14:paraId="135C2A4E" w14:textId="77777777" w:rsidR="001A492C" w:rsidRPr="001A492C" w:rsidRDefault="001A492C" w:rsidP="00984EAF">
            <w:pPr>
              <w:pStyle w:val="CDITable-RowLeft"/>
            </w:pPr>
            <w:r w:rsidRPr="001A492C">
              <w:t>Ham, cheese and tomato</w:t>
            </w:r>
          </w:p>
        </w:tc>
        <w:tc>
          <w:tcPr>
            <w:tcW w:w="992" w:type="dxa"/>
            <w:tcMar>
              <w:top w:w="113" w:type="dxa"/>
              <w:left w:w="113" w:type="dxa"/>
              <w:bottom w:w="113" w:type="dxa"/>
              <w:right w:w="113" w:type="dxa"/>
            </w:tcMar>
            <w:vAlign w:val="center"/>
          </w:tcPr>
          <w:p w14:paraId="51CFABBB" w14:textId="77777777" w:rsidR="001A492C" w:rsidRPr="001A492C" w:rsidRDefault="001A492C" w:rsidP="00984EAF">
            <w:pPr>
              <w:pStyle w:val="CDITable-RowCentre"/>
            </w:pPr>
            <w:r w:rsidRPr="001A492C">
              <w:t>10</w:t>
            </w:r>
          </w:p>
        </w:tc>
        <w:tc>
          <w:tcPr>
            <w:tcW w:w="992" w:type="dxa"/>
            <w:tcMar>
              <w:top w:w="113" w:type="dxa"/>
              <w:left w:w="113" w:type="dxa"/>
              <w:bottom w:w="113" w:type="dxa"/>
              <w:right w:w="113" w:type="dxa"/>
            </w:tcMar>
            <w:vAlign w:val="center"/>
          </w:tcPr>
          <w:p w14:paraId="26FC0405" w14:textId="77777777" w:rsidR="001A492C" w:rsidRPr="001A492C" w:rsidRDefault="001A492C" w:rsidP="00984EAF">
            <w:pPr>
              <w:pStyle w:val="CDITable-RowCentre"/>
            </w:pPr>
            <w:r w:rsidRPr="001A492C">
              <w:t>14</w:t>
            </w:r>
          </w:p>
        </w:tc>
        <w:tc>
          <w:tcPr>
            <w:tcW w:w="992" w:type="dxa"/>
            <w:tcMar>
              <w:top w:w="113" w:type="dxa"/>
              <w:left w:w="113" w:type="dxa"/>
              <w:bottom w:w="113" w:type="dxa"/>
              <w:right w:w="113" w:type="dxa"/>
            </w:tcMar>
            <w:vAlign w:val="center"/>
          </w:tcPr>
          <w:p w14:paraId="2D32FA8D" w14:textId="77777777" w:rsidR="001A492C" w:rsidRPr="001A492C" w:rsidRDefault="001A492C" w:rsidP="00984EAF">
            <w:pPr>
              <w:pStyle w:val="CDITable-RowCentre"/>
            </w:pPr>
            <w:r w:rsidRPr="001A492C">
              <w:t>71.4</w:t>
            </w:r>
          </w:p>
        </w:tc>
        <w:tc>
          <w:tcPr>
            <w:tcW w:w="992" w:type="dxa"/>
            <w:tcMar>
              <w:top w:w="113" w:type="dxa"/>
              <w:left w:w="113" w:type="dxa"/>
              <w:bottom w:w="113" w:type="dxa"/>
              <w:right w:w="113" w:type="dxa"/>
            </w:tcMar>
            <w:vAlign w:val="center"/>
          </w:tcPr>
          <w:p w14:paraId="17C2B8AF" w14:textId="77777777" w:rsidR="001A492C" w:rsidRPr="001A492C" w:rsidRDefault="001A492C" w:rsidP="00984EAF">
            <w:pPr>
              <w:pStyle w:val="CDITable-RowCentre"/>
            </w:pPr>
            <w:r w:rsidRPr="001A492C">
              <w:t>24</w:t>
            </w:r>
          </w:p>
        </w:tc>
        <w:tc>
          <w:tcPr>
            <w:tcW w:w="992" w:type="dxa"/>
            <w:tcMar>
              <w:top w:w="113" w:type="dxa"/>
              <w:left w:w="113" w:type="dxa"/>
              <w:bottom w:w="113" w:type="dxa"/>
              <w:right w:w="113" w:type="dxa"/>
            </w:tcMar>
            <w:vAlign w:val="center"/>
          </w:tcPr>
          <w:p w14:paraId="2433D3AA" w14:textId="77777777" w:rsidR="001A492C" w:rsidRPr="001A492C" w:rsidRDefault="001A492C" w:rsidP="00984EAF">
            <w:pPr>
              <w:pStyle w:val="CDITable-RowCentre"/>
            </w:pPr>
            <w:r w:rsidRPr="001A492C">
              <w:t>38</w:t>
            </w:r>
          </w:p>
        </w:tc>
        <w:tc>
          <w:tcPr>
            <w:tcW w:w="993" w:type="dxa"/>
            <w:tcMar>
              <w:top w:w="113" w:type="dxa"/>
              <w:left w:w="113" w:type="dxa"/>
              <w:bottom w:w="113" w:type="dxa"/>
              <w:right w:w="113" w:type="dxa"/>
            </w:tcMar>
            <w:vAlign w:val="center"/>
          </w:tcPr>
          <w:p w14:paraId="734BDC2C" w14:textId="77777777" w:rsidR="001A492C" w:rsidRPr="001A492C" w:rsidRDefault="001A492C" w:rsidP="00984EAF">
            <w:pPr>
              <w:pStyle w:val="CDITable-RowCentre"/>
            </w:pPr>
            <w:r w:rsidRPr="001A492C">
              <w:t>63.2</w:t>
            </w:r>
          </w:p>
        </w:tc>
        <w:tc>
          <w:tcPr>
            <w:tcW w:w="992" w:type="dxa"/>
            <w:tcMar>
              <w:top w:w="113" w:type="dxa"/>
              <w:left w:w="113" w:type="dxa"/>
              <w:bottom w:w="113" w:type="dxa"/>
              <w:right w:w="113" w:type="dxa"/>
            </w:tcMar>
            <w:vAlign w:val="center"/>
          </w:tcPr>
          <w:p w14:paraId="404A85C3" w14:textId="77777777" w:rsidR="001A492C" w:rsidRPr="001A492C" w:rsidRDefault="001A492C" w:rsidP="00984EAF">
            <w:pPr>
              <w:pStyle w:val="CDITable-RowCentre"/>
            </w:pPr>
            <w:r w:rsidRPr="001A492C">
              <w:t>1.1</w:t>
            </w:r>
          </w:p>
        </w:tc>
        <w:tc>
          <w:tcPr>
            <w:tcW w:w="992" w:type="dxa"/>
            <w:tcMar>
              <w:top w:w="113" w:type="dxa"/>
              <w:left w:w="113" w:type="dxa"/>
              <w:bottom w:w="113" w:type="dxa"/>
              <w:right w:w="113" w:type="dxa"/>
            </w:tcMar>
            <w:vAlign w:val="center"/>
          </w:tcPr>
          <w:p w14:paraId="05FA5466" w14:textId="77777777" w:rsidR="001A492C" w:rsidRPr="001A492C" w:rsidRDefault="001A492C" w:rsidP="00984EAF">
            <w:pPr>
              <w:pStyle w:val="CDITable-RowCentre"/>
            </w:pPr>
            <w:r w:rsidRPr="001A492C">
              <w:t>0.7–1.7</w:t>
            </w:r>
          </w:p>
        </w:tc>
        <w:tc>
          <w:tcPr>
            <w:tcW w:w="992" w:type="dxa"/>
            <w:tcMar>
              <w:top w:w="113" w:type="dxa"/>
              <w:left w:w="113" w:type="dxa"/>
              <w:bottom w:w="113" w:type="dxa"/>
              <w:right w:w="113" w:type="dxa"/>
            </w:tcMar>
            <w:vAlign w:val="center"/>
          </w:tcPr>
          <w:p w14:paraId="6F847643" w14:textId="77777777" w:rsidR="001A492C" w:rsidRPr="001A492C" w:rsidRDefault="001A492C" w:rsidP="00984EAF">
            <w:pPr>
              <w:pStyle w:val="CDITable-RowCentre"/>
            </w:pPr>
            <w:r w:rsidRPr="001A492C">
              <w:t>0.75</w:t>
            </w:r>
          </w:p>
        </w:tc>
        <w:tc>
          <w:tcPr>
            <w:tcW w:w="992" w:type="dxa"/>
            <w:tcMar>
              <w:top w:w="113" w:type="dxa"/>
              <w:left w:w="113" w:type="dxa"/>
              <w:bottom w:w="113" w:type="dxa"/>
              <w:right w:w="113" w:type="dxa"/>
            </w:tcMar>
            <w:vAlign w:val="center"/>
          </w:tcPr>
          <w:p w14:paraId="47B9E4CC" w14:textId="77777777" w:rsidR="001A492C" w:rsidRPr="001A492C" w:rsidRDefault="001A492C" w:rsidP="00984EAF">
            <w:pPr>
              <w:pStyle w:val="CDITable-RowCentre"/>
            </w:pPr>
          </w:p>
        </w:tc>
        <w:tc>
          <w:tcPr>
            <w:tcW w:w="992" w:type="dxa"/>
            <w:tcMar>
              <w:top w:w="113" w:type="dxa"/>
              <w:left w:w="113" w:type="dxa"/>
              <w:bottom w:w="113" w:type="dxa"/>
              <w:right w:w="113" w:type="dxa"/>
            </w:tcMar>
            <w:vAlign w:val="center"/>
          </w:tcPr>
          <w:p w14:paraId="418B34B6" w14:textId="77777777" w:rsidR="001A492C" w:rsidRPr="001A492C" w:rsidRDefault="001A492C" w:rsidP="00984EAF">
            <w:pPr>
              <w:pStyle w:val="CDITable-RowCentre"/>
            </w:pPr>
          </w:p>
        </w:tc>
        <w:tc>
          <w:tcPr>
            <w:tcW w:w="992" w:type="dxa"/>
            <w:tcMar>
              <w:top w:w="113" w:type="dxa"/>
              <w:left w:w="113" w:type="dxa"/>
              <w:bottom w:w="113" w:type="dxa"/>
              <w:right w:w="113" w:type="dxa"/>
            </w:tcMar>
            <w:vAlign w:val="center"/>
          </w:tcPr>
          <w:p w14:paraId="1471F25A" w14:textId="77777777" w:rsidR="001A492C" w:rsidRPr="001A492C" w:rsidRDefault="001A492C" w:rsidP="00984EAF">
            <w:pPr>
              <w:pStyle w:val="CDITable-RowCentre"/>
            </w:pPr>
          </w:p>
        </w:tc>
      </w:tr>
      <w:tr w:rsidR="001A492C" w:rsidRPr="001A492C" w14:paraId="12C99283" w14:textId="77777777" w:rsidTr="001A492C">
        <w:trPr>
          <w:trHeight w:val="20"/>
        </w:trPr>
        <w:tc>
          <w:tcPr>
            <w:tcW w:w="2438" w:type="dxa"/>
            <w:tcMar>
              <w:top w:w="113" w:type="dxa"/>
              <w:left w:w="113" w:type="dxa"/>
              <w:bottom w:w="113" w:type="dxa"/>
              <w:right w:w="113" w:type="dxa"/>
            </w:tcMar>
            <w:vAlign w:val="center"/>
          </w:tcPr>
          <w:p w14:paraId="126D54EF" w14:textId="77777777" w:rsidR="001A492C" w:rsidRPr="001A492C" w:rsidRDefault="001A492C" w:rsidP="00984EAF">
            <w:pPr>
              <w:pStyle w:val="CDITable-RowLeft"/>
            </w:pPr>
            <w:r w:rsidRPr="001A492C">
              <w:t xml:space="preserve">Chicken </w:t>
            </w:r>
          </w:p>
        </w:tc>
        <w:tc>
          <w:tcPr>
            <w:tcW w:w="992" w:type="dxa"/>
            <w:tcMar>
              <w:top w:w="113" w:type="dxa"/>
              <w:left w:w="113" w:type="dxa"/>
              <w:bottom w:w="113" w:type="dxa"/>
              <w:right w:w="113" w:type="dxa"/>
            </w:tcMar>
            <w:vAlign w:val="center"/>
          </w:tcPr>
          <w:p w14:paraId="076017E4" w14:textId="77777777" w:rsidR="001A492C" w:rsidRPr="001A492C" w:rsidRDefault="001A492C" w:rsidP="00984EAF">
            <w:pPr>
              <w:pStyle w:val="CDITable-RowCentre"/>
            </w:pPr>
            <w:r w:rsidRPr="001A492C">
              <w:t>19</w:t>
            </w:r>
          </w:p>
        </w:tc>
        <w:tc>
          <w:tcPr>
            <w:tcW w:w="992" w:type="dxa"/>
            <w:tcMar>
              <w:top w:w="113" w:type="dxa"/>
              <w:left w:w="113" w:type="dxa"/>
              <w:bottom w:w="113" w:type="dxa"/>
              <w:right w:w="113" w:type="dxa"/>
            </w:tcMar>
            <w:vAlign w:val="center"/>
          </w:tcPr>
          <w:p w14:paraId="0C8128C0" w14:textId="77777777" w:rsidR="001A492C" w:rsidRPr="001A492C" w:rsidRDefault="001A492C" w:rsidP="00984EAF">
            <w:pPr>
              <w:pStyle w:val="CDITable-RowCentre"/>
            </w:pPr>
            <w:r w:rsidRPr="001A492C">
              <w:t>27</w:t>
            </w:r>
          </w:p>
        </w:tc>
        <w:tc>
          <w:tcPr>
            <w:tcW w:w="992" w:type="dxa"/>
            <w:tcMar>
              <w:top w:w="113" w:type="dxa"/>
              <w:left w:w="113" w:type="dxa"/>
              <w:bottom w:w="113" w:type="dxa"/>
              <w:right w:w="113" w:type="dxa"/>
            </w:tcMar>
            <w:vAlign w:val="center"/>
          </w:tcPr>
          <w:p w14:paraId="5204F397" w14:textId="77777777" w:rsidR="001A492C" w:rsidRPr="001A492C" w:rsidRDefault="001A492C" w:rsidP="00984EAF">
            <w:pPr>
              <w:pStyle w:val="CDITable-RowCentre"/>
            </w:pPr>
            <w:r w:rsidRPr="001A492C">
              <w:t>70.4</w:t>
            </w:r>
          </w:p>
        </w:tc>
        <w:tc>
          <w:tcPr>
            <w:tcW w:w="992" w:type="dxa"/>
            <w:tcMar>
              <w:top w:w="113" w:type="dxa"/>
              <w:left w:w="113" w:type="dxa"/>
              <w:bottom w:w="113" w:type="dxa"/>
              <w:right w:w="113" w:type="dxa"/>
            </w:tcMar>
            <w:vAlign w:val="center"/>
          </w:tcPr>
          <w:p w14:paraId="2301B748" w14:textId="77777777" w:rsidR="001A492C" w:rsidRPr="001A492C" w:rsidRDefault="001A492C" w:rsidP="00984EAF">
            <w:pPr>
              <w:pStyle w:val="CDITable-RowCentre"/>
            </w:pPr>
            <w:r w:rsidRPr="001A492C">
              <w:t>15</w:t>
            </w:r>
          </w:p>
        </w:tc>
        <w:tc>
          <w:tcPr>
            <w:tcW w:w="992" w:type="dxa"/>
            <w:tcMar>
              <w:top w:w="113" w:type="dxa"/>
              <w:left w:w="113" w:type="dxa"/>
              <w:bottom w:w="113" w:type="dxa"/>
              <w:right w:w="113" w:type="dxa"/>
            </w:tcMar>
            <w:vAlign w:val="center"/>
          </w:tcPr>
          <w:p w14:paraId="13E10D51" w14:textId="77777777" w:rsidR="001A492C" w:rsidRPr="001A492C" w:rsidRDefault="001A492C" w:rsidP="00984EAF">
            <w:pPr>
              <w:pStyle w:val="CDITable-RowCentre"/>
            </w:pPr>
            <w:r w:rsidRPr="001A492C">
              <w:t>25</w:t>
            </w:r>
          </w:p>
        </w:tc>
        <w:tc>
          <w:tcPr>
            <w:tcW w:w="993" w:type="dxa"/>
            <w:tcMar>
              <w:top w:w="113" w:type="dxa"/>
              <w:left w:w="113" w:type="dxa"/>
              <w:bottom w:w="113" w:type="dxa"/>
              <w:right w:w="113" w:type="dxa"/>
            </w:tcMar>
            <w:vAlign w:val="center"/>
          </w:tcPr>
          <w:p w14:paraId="3BC88CD4" w14:textId="77777777" w:rsidR="001A492C" w:rsidRPr="001A492C" w:rsidRDefault="001A492C" w:rsidP="00984EAF">
            <w:pPr>
              <w:pStyle w:val="CDITable-RowCentre"/>
            </w:pPr>
            <w:r w:rsidRPr="001A492C">
              <w:t>60.0</w:t>
            </w:r>
          </w:p>
        </w:tc>
        <w:tc>
          <w:tcPr>
            <w:tcW w:w="992" w:type="dxa"/>
            <w:tcMar>
              <w:top w:w="113" w:type="dxa"/>
              <w:left w:w="113" w:type="dxa"/>
              <w:bottom w:w="113" w:type="dxa"/>
              <w:right w:w="113" w:type="dxa"/>
            </w:tcMar>
            <w:vAlign w:val="center"/>
          </w:tcPr>
          <w:p w14:paraId="17CF87E5" w14:textId="77777777" w:rsidR="001A492C" w:rsidRPr="001A492C" w:rsidRDefault="001A492C" w:rsidP="00984EAF">
            <w:pPr>
              <w:pStyle w:val="CDITable-RowCentre"/>
            </w:pPr>
            <w:r w:rsidRPr="001A492C">
              <w:t>1.2</w:t>
            </w:r>
          </w:p>
        </w:tc>
        <w:tc>
          <w:tcPr>
            <w:tcW w:w="992" w:type="dxa"/>
            <w:tcMar>
              <w:top w:w="113" w:type="dxa"/>
              <w:left w:w="113" w:type="dxa"/>
              <w:bottom w:w="113" w:type="dxa"/>
              <w:right w:w="113" w:type="dxa"/>
            </w:tcMar>
            <w:vAlign w:val="center"/>
          </w:tcPr>
          <w:p w14:paraId="0F9D1EBB" w14:textId="77777777" w:rsidR="001A492C" w:rsidRPr="001A492C" w:rsidRDefault="001A492C" w:rsidP="00984EAF">
            <w:pPr>
              <w:pStyle w:val="CDITable-RowCentre"/>
            </w:pPr>
            <w:r w:rsidRPr="001A492C">
              <w:t>0.8–1.8</w:t>
            </w:r>
          </w:p>
        </w:tc>
        <w:tc>
          <w:tcPr>
            <w:tcW w:w="992" w:type="dxa"/>
            <w:tcMar>
              <w:top w:w="113" w:type="dxa"/>
              <w:left w:w="113" w:type="dxa"/>
              <w:bottom w:w="113" w:type="dxa"/>
              <w:right w:w="113" w:type="dxa"/>
            </w:tcMar>
            <w:vAlign w:val="center"/>
          </w:tcPr>
          <w:p w14:paraId="19B0AACD" w14:textId="77777777" w:rsidR="001A492C" w:rsidRPr="001A492C" w:rsidRDefault="001A492C" w:rsidP="00984EAF">
            <w:pPr>
              <w:pStyle w:val="CDITable-RowCentre"/>
            </w:pPr>
            <w:r w:rsidRPr="001A492C">
              <w:t>0.43</w:t>
            </w:r>
          </w:p>
        </w:tc>
        <w:tc>
          <w:tcPr>
            <w:tcW w:w="992" w:type="dxa"/>
            <w:tcMar>
              <w:top w:w="113" w:type="dxa"/>
              <w:left w:w="113" w:type="dxa"/>
              <w:bottom w:w="113" w:type="dxa"/>
              <w:right w:w="113" w:type="dxa"/>
            </w:tcMar>
            <w:vAlign w:val="center"/>
          </w:tcPr>
          <w:p w14:paraId="29953D29" w14:textId="77777777" w:rsidR="001A492C" w:rsidRPr="001A492C" w:rsidRDefault="001A492C" w:rsidP="00984EAF">
            <w:pPr>
              <w:pStyle w:val="CDITable-RowCentre"/>
            </w:pPr>
          </w:p>
        </w:tc>
        <w:tc>
          <w:tcPr>
            <w:tcW w:w="992" w:type="dxa"/>
            <w:tcMar>
              <w:top w:w="113" w:type="dxa"/>
              <w:left w:w="113" w:type="dxa"/>
              <w:bottom w:w="113" w:type="dxa"/>
              <w:right w:w="113" w:type="dxa"/>
            </w:tcMar>
            <w:vAlign w:val="center"/>
          </w:tcPr>
          <w:p w14:paraId="5D581AB2" w14:textId="77777777" w:rsidR="001A492C" w:rsidRPr="001A492C" w:rsidRDefault="001A492C" w:rsidP="00984EAF">
            <w:pPr>
              <w:pStyle w:val="CDITable-RowCentre"/>
            </w:pPr>
          </w:p>
        </w:tc>
        <w:tc>
          <w:tcPr>
            <w:tcW w:w="992" w:type="dxa"/>
            <w:tcMar>
              <w:top w:w="113" w:type="dxa"/>
              <w:left w:w="113" w:type="dxa"/>
              <w:bottom w:w="113" w:type="dxa"/>
              <w:right w:w="113" w:type="dxa"/>
            </w:tcMar>
            <w:vAlign w:val="center"/>
          </w:tcPr>
          <w:p w14:paraId="1804FF79" w14:textId="77777777" w:rsidR="001A492C" w:rsidRPr="001A492C" w:rsidRDefault="001A492C" w:rsidP="00984EAF">
            <w:pPr>
              <w:pStyle w:val="CDITable-RowCentre"/>
            </w:pPr>
          </w:p>
        </w:tc>
      </w:tr>
      <w:tr w:rsidR="001A492C" w:rsidRPr="001A492C" w14:paraId="5BB7016A" w14:textId="77777777" w:rsidTr="001E3AC7">
        <w:trPr>
          <w:trHeight w:val="20"/>
        </w:trPr>
        <w:tc>
          <w:tcPr>
            <w:tcW w:w="2438" w:type="dxa"/>
            <w:tcMar>
              <w:top w:w="113" w:type="dxa"/>
              <w:left w:w="113" w:type="dxa"/>
              <w:bottom w:w="113" w:type="dxa"/>
              <w:right w:w="113" w:type="dxa"/>
            </w:tcMar>
            <w:vAlign w:val="center"/>
          </w:tcPr>
          <w:p w14:paraId="5A065EFD" w14:textId="77777777" w:rsidR="001A492C" w:rsidRPr="001A492C" w:rsidRDefault="001A492C" w:rsidP="00984EAF">
            <w:pPr>
              <w:pStyle w:val="CDITable-RowLeft"/>
            </w:pPr>
            <w:r w:rsidRPr="001A492C">
              <w:t xml:space="preserve">Egg </w:t>
            </w:r>
          </w:p>
        </w:tc>
        <w:tc>
          <w:tcPr>
            <w:tcW w:w="992" w:type="dxa"/>
            <w:tcMar>
              <w:top w:w="113" w:type="dxa"/>
              <w:left w:w="113" w:type="dxa"/>
              <w:bottom w:w="113" w:type="dxa"/>
              <w:right w:w="113" w:type="dxa"/>
            </w:tcMar>
            <w:vAlign w:val="center"/>
          </w:tcPr>
          <w:p w14:paraId="417700FA" w14:textId="77777777" w:rsidR="001A492C" w:rsidRPr="001A492C" w:rsidRDefault="001A492C" w:rsidP="00984EAF">
            <w:pPr>
              <w:pStyle w:val="CDITable-RowCentre"/>
            </w:pPr>
            <w:r w:rsidRPr="001A492C">
              <w:t>19</w:t>
            </w:r>
          </w:p>
        </w:tc>
        <w:tc>
          <w:tcPr>
            <w:tcW w:w="992" w:type="dxa"/>
            <w:tcMar>
              <w:top w:w="113" w:type="dxa"/>
              <w:left w:w="113" w:type="dxa"/>
              <w:bottom w:w="113" w:type="dxa"/>
              <w:right w:w="113" w:type="dxa"/>
            </w:tcMar>
            <w:vAlign w:val="center"/>
          </w:tcPr>
          <w:p w14:paraId="0D6D5456" w14:textId="77777777" w:rsidR="001A492C" w:rsidRPr="001A492C" w:rsidRDefault="001A492C" w:rsidP="00984EAF">
            <w:pPr>
              <w:pStyle w:val="CDITable-RowCentre"/>
            </w:pPr>
            <w:r w:rsidRPr="001A492C">
              <w:t>24</w:t>
            </w:r>
          </w:p>
        </w:tc>
        <w:tc>
          <w:tcPr>
            <w:tcW w:w="992" w:type="dxa"/>
            <w:tcMar>
              <w:top w:w="113" w:type="dxa"/>
              <w:left w:w="113" w:type="dxa"/>
              <w:bottom w:w="113" w:type="dxa"/>
              <w:right w:w="113" w:type="dxa"/>
            </w:tcMar>
            <w:vAlign w:val="center"/>
          </w:tcPr>
          <w:p w14:paraId="36490EBB" w14:textId="77777777" w:rsidR="001A492C" w:rsidRPr="001A492C" w:rsidRDefault="001A492C" w:rsidP="00984EAF">
            <w:pPr>
              <w:pStyle w:val="CDITable-RowCentre"/>
            </w:pPr>
            <w:r w:rsidRPr="001A492C">
              <w:t>79.2</w:t>
            </w:r>
          </w:p>
        </w:tc>
        <w:tc>
          <w:tcPr>
            <w:tcW w:w="992" w:type="dxa"/>
            <w:tcMar>
              <w:top w:w="113" w:type="dxa"/>
              <w:left w:w="113" w:type="dxa"/>
              <w:bottom w:w="113" w:type="dxa"/>
              <w:right w:w="113" w:type="dxa"/>
            </w:tcMar>
            <w:vAlign w:val="center"/>
          </w:tcPr>
          <w:p w14:paraId="2BC6EB36" w14:textId="77777777" w:rsidR="001A492C" w:rsidRPr="001A492C" w:rsidRDefault="001A492C" w:rsidP="00984EAF">
            <w:pPr>
              <w:pStyle w:val="CDITable-RowCentre"/>
            </w:pPr>
            <w:r w:rsidRPr="001A492C">
              <w:t>15</w:t>
            </w:r>
          </w:p>
        </w:tc>
        <w:tc>
          <w:tcPr>
            <w:tcW w:w="992" w:type="dxa"/>
            <w:tcMar>
              <w:top w:w="113" w:type="dxa"/>
              <w:left w:w="113" w:type="dxa"/>
              <w:bottom w:w="113" w:type="dxa"/>
              <w:right w:w="113" w:type="dxa"/>
            </w:tcMar>
            <w:vAlign w:val="center"/>
          </w:tcPr>
          <w:p w14:paraId="093A30D7" w14:textId="77777777" w:rsidR="001A492C" w:rsidRPr="001A492C" w:rsidRDefault="001A492C" w:rsidP="00984EAF">
            <w:pPr>
              <w:pStyle w:val="CDITable-RowCentre"/>
            </w:pPr>
            <w:r w:rsidRPr="001A492C">
              <w:t>28</w:t>
            </w:r>
          </w:p>
        </w:tc>
        <w:tc>
          <w:tcPr>
            <w:tcW w:w="993" w:type="dxa"/>
            <w:tcMar>
              <w:top w:w="113" w:type="dxa"/>
              <w:left w:w="113" w:type="dxa"/>
              <w:bottom w:w="113" w:type="dxa"/>
              <w:right w:w="113" w:type="dxa"/>
            </w:tcMar>
            <w:vAlign w:val="center"/>
          </w:tcPr>
          <w:p w14:paraId="187060C1" w14:textId="77777777" w:rsidR="001A492C" w:rsidRPr="001A492C" w:rsidRDefault="001A492C" w:rsidP="00984EAF">
            <w:pPr>
              <w:pStyle w:val="CDITable-RowCentre"/>
            </w:pPr>
            <w:r w:rsidRPr="001A492C">
              <w:t>53.6</w:t>
            </w:r>
          </w:p>
        </w:tc>
        <w:tc>
          <w:tcPr>
            <w:tcW w:w="992" w:type="dxa"/>
            <w:tcMar>
              <w:top w:w="113" w:type="dxa"/>
              <w:left w:w="113" w:type="dxa"/>
              <w:bottom w:w="113" w:type="dxa"/>
              <w:right w:w="113" w:type="dxa"/>
            </w:tcMar>
            <w:vAlign w:val="center"/>
          </w:tcPr>
          <w:p w14:paraId="2A3C8BE1" w14:textId="77777777" w:rsidR="001A492C" w:rsidRPr="001A492C" w:rsidRDefault="001A492C" w:rsidP="00984EAF">
            <w:pPr>
              <w:pStyle w:val="CDITable-RowCentre"/>
            </w:pPr>
            <w:r w:rsidRPr="001A492C">
              <w:t>1.5</w:t>
            </w:r>
          </w:p>
        </w:tc>
        <w:tc>
          <w:tcPr>
            <w:tcW w:w="992" w:type="dxa"/>
            <w:tcMar>
              <w:top w:w="113" w:type="dxa"/>
              <w:left w:w="113" w:type="dxa"/>
              <w:bottom w:w="113" w:type="dxa"/>
              <w:right w:w="113" w:type="dxa"/>
            </w:tcMar>
            <w:vAlign w:val="center"/>
          </w:tcPr>
          <w:p w14:paraId="6FCF0051" w14:textId="77777777" w:rsidR="001A492C" w:rsidRPr="001A492C" w:rsidRDefault="001A492C" w:rsidP="00984EAF">
            <w:pPr>
              <w:pStyle w:val="CDITable-RowCentre"/>
            </w:pPr>
            <w:r w:rsidRPr="001A492C">
              <w:t>0.99–2.2</w:t>
            </w:r>
          </w:p>
        </w:tc>
        <w:tc>
          <w:tcPr>
            <w:tcW w:w="992" w:type="dxa"/>
            <w:tcMar>
              <w:top w:w="113" w:type="dxa"/>
              <w:left w:w="113" w:type="dxa"/>
              <w:bottom w:w="113" w:type="dxa"/>
              <w:right w:w="113" w:type="dxa"/>
            </w:tcMar>
            <w:vAlign w:val="center"/>
          </w:tcPr>
          <w:p w14:paraId="734C0B80" w14:textId="77777777" w:rsidR="001A492C" w:rsidRPr="001A492C" w:rsidRDefault="001A492C" w:rsidP="00984EAF">
            <w:pPr>
              <w:pStyle w:val="CDITable-RowCentre"/>
            </w:pPr>
            <w:r w:rsidRPr="001A492C">
              <w:t>0.05</w:t>
            </w:r>
          </w:p>
        </w:tc>
        <w:tc>
          <w:tcPr>
            <w:tcW w:w="992" w:type="dxa"/>
            <w:tcMar>
              <w:top w:w="113" w:type="dxa"/>
              <w:left w:w="113" w:type="dxa"/>
              <w:bottom w:w="113" w:type="dxa"/>
              <w:right w:w="113" w:type="dxa"/>
            </w:tcMar>
            <w:vAlign w:val="center"/>
          </w:tcPr>
          <w:p w14:paraId="476212E1" w14:textId="77777777" w:rsidR="001A492C" w:rsidRPr="001A492C" w:rsidRDefault="001A492C" w:rsidP="00984EAF">
            <w:pPr>
              <w:pStyle w:val="CDITable-RowCentre"/>
            </w:pPr>
            <w:r w:rsidRPr="001A492C">
              <w:t>1.2</w:t>
            </w:r>
          </w:p>
        </w:tc>
        <w:tc>
          <w:tcPr>
            <w:tcW w:w="992" w:type="dxa"/>
            <w:tcMar>
              <w:top w:w="113" w:type="dxa"/>
              <w:left w:w="113" w:type="dxa"/>
              <w:bottom w:w="113" w:type="dxa"/>
              <w:right w:w="113" w:type="dxa"/>
            </w:tcMar>
            <w:vAlign w:val="center"/>
          </w:tcPr>
          <w:p w14:paraId="187B1270" w14:textId="77777777" w:rsidR="001A492C" w:rsidRPr="001A492C" w:rsidRDefault="001A492C" w:rsidP="00984EAF">
            <w:pPr>
              <w:pStyle w:val="CDITable-RowCentre"/>
            </w:pPr>
            <w:r w:rsidRPr="001A492C">
              <w:t xml:space="preserve">0.8–1.9 </w:t>
            </w:r>
          </w:p>
        </w:tc>
        <w:tc>
          <w:tcPr>
            <w:tcW w:w="992" w:type="dxa"/>
            <w:tcMar>
              <w:top w:w="113" w:type="dxa"/>
              <w:left w:w="113" w:type="dxa"/>
              <w:bottom w:w="113" w:type="dxa"/>
              <w:right w:w="113" w:type="dxa"/>
            </w:tcMar>
            <w:vAlign w:val="center"/>
          </w:tcPr>
          <w:p w14:paraId="447F1E37" w14:textId="77777777" w:rsidR="001A492C" w:rsidRPr="001A492C" w:rsidRDefault="001A492C" w:rsidP="00984EAF">
            <w:pPr>
              <w:pStyle w:val="CDITable-RowCentre"/>
            </w:pPr>
            <w:r w:rsidRPr="001A492C">
              <w:t>0.34</w:t>
            </w:r>
          </w:p>
        </w:tc>
      </w:tr>
      <w:tr w:rsidR="001A492C" w:rsidRPr="001A492C" w14:paraId="006F5FB0" w14:textId="77777777" w:rsidTr="001E3AC7">
        <w:trPr>
          <w:trHeight w:val="20"/>
        </w:trPr>
        <w:tc>
          <w:tcPr>
            <w:tcW w:w="2438" w:type="dxa"/>
            <w:tcBorders>
              <w:bottom w:val="single" w:sz="6" w:space="0" w:color="033636" w:themeColor="text2"/>
            </w:tcBorders>
            <w:tcMar>
              <w:top w:w="113" w:type="dxa"/>
              <w:left w:w="113" w:type="dxa"/>
              <w:bottom w:w="113" w:type="dxa"/>
              <w:right w:w="113" w:type="dxa"/>
            </w:tcMar>
            <w:vAlign w:val="center"/>
          </w:tcPr>
          <w:p w14:paraId="16BE2CC2" w14:textId="77777777" w:rsidR="001A492C" w:rsidRPr="001A492C" w:rsidRDefault="001A492C" w:rsidP="00984EAF">
            <w:pPr>
              <w:pStyle w:val="CDITable-RowLeft"/>
            </w:pPr>
            <w:r w:rsidRPr="001A492C">
              <w:t xml:space="preserve">Salmon </w:t>
            </w:r>
          </w:p>
        </w:tc>
        <w:tc>
          <w:tcPr>
            <w:tcW w:w="992" w:type="dxa"/>
            <w:tcBorders>
              <w:bottom w:val="single" w:sz="6" w:space="0" w:color="033636" w:themeColor="text2"/>
            </w:tcBorders>
            <w:tcMar>
              <w:top w:w="113" w:type="dxa"/>
              <w:left w:w="113" w:type="dxa"/>
              <w:bottom w:w="113" w:type="dxa"/>
              <w:right w:w="113" w:type="dxa"/>
            </w:tcMar>
            <w:vAlign w:val="center"/>
          </w:tcPr>
          <w:p w14:paraId="18C7BB83" w14:textId="77777777" w:rsidR="001A492C" w:rsidRPr="001A492C" w:rsidRDefault="001A492C" w:rsidP="00984EAF">
            <w:pPr>
              <w:pStyle w:val="CDITable-RowCentre"/>
            </w:pPr>
            <w:r w:rsidRPr="001A492C">
              <w:t>5</w:t>
            </w:r>
          </w:p>
        </w:tc>
        <w:tc>
          <w:tcPr>
            <w:tcW w:w="992" w:type="dxa"/>
            <w:tcBorders>
              <w:bottom w:val="single" w:sz="6" w:space="0" w:color="033636" w:themeColor="text2"/>
            </w:tcBorders>
            <w:tcMar>
              <w:top w:w="113" w:type="dxa"/>
              <w:left w:w="113" w:type="dxa"/>
              <w:bottom w:w="113" w:type="dxa"/>
              <w:right w:w="113" w:type="dxa"/>
            </w:tcMar>
            <w:vAlign w:val="center"/>
          </w:tcPr>
          <w:p w14:paraId="41714A6F" w14:textId="77777777" w:rsidR="001A492C" w:rsidRPr="001A492C" w:rsidRDefault="001A492C" w:rsidP="00984EAF">
            <w:pPr>
              <w:pStyle w:val="CDITable-RowCentre"/>
            </w:pPr>
            <w:r w:rsidRPr="001A492C">
              <w:t>6</w:t>
            </w:r>
          </w:p>
        </w:tc>
        <w:tc>
          <w:tcPr>
            <w:tcW w:w="992" w:type="dxa"/>
            <w:tcBorders>
              <w:bottom w:val="single" w:sz="6" w:space="0" w:color="033636" w:themeColor="text2"/>
            </w:tcBorders>
            <w:tcMar>
              <w:top w:w="113" w:type="dxa"/>
              <w:left w:w="113" w:type="dxa"/>
              <w:bottom w:w="113" w:type="dxa"/>
              <w:right w:w="113" w:type="dxa"/>
            </w:tcMar>
            <w:vAlign w:val="center"/>
          </w:tcPr>
          <w:p w14:paraId="324166DB" w14:textId="77777777" w:rsidR="001A492C" w:rsidRPr="001A492C" w:rsidRDefault="001A492C" w:rsidP="00984EAF">
            <w:pPr>
              <w:pStyle w:val="CDITable-RowCentre"/>
            </w:pPr>
            <w:r w:rsidRPr="001A492C">
              <w:t>83.3</w:t>
            </w:r>
          </w:p>
        </w:tc>
        <w:tc>
          <w:tcPr>
            <w:tcW w:w="992" w:type="dxa"/>
            <w:tcBorders>
              <w:bottom w:val="single" w:sz="6" w:space="0" w:color="033636" w:themeColor="text2"/>
            </w:tcBorders>
            <w:tcMar>
              <w:top w:w="113" w:type="dxa"/>
              <w:left w:w="113" w:type="dxa"/>
              <w:bottom w:w="113" w:type="dxa"/>
              <w:right w:w="113" w:type="dxa"/>
            </w:tcMar>
            <w:vAlign w:val="center"/>
          </w:tcPr>
          <w:p w14:paraId="1213B3EE" w14:textId="77777777" w:rsidR="001A492C" w:rsidRPr="001A492C" w:rsidRDefault="001A492C" w:rsidP="00984EAF">
            <w:pPr>
              <w:pStyle w:val="CDITable-RowCentre"/>
            </w:pPr>
            <w:r w:rsidRPr="001A492C">
              <w:t>29</w:t>
            </w:r>
          </w:p>
        </w:tc>
        <w:tc>
          <w:tcPr>
            <w:tcW w:w="992" w:type="dxa"/>
            <w:tcBorders>
              <w:bottom w:val="single" w:sz="6" w:space="0" w:color="033636" w:themeColor="text2"/>
            </w:tcBorders>
            <w:tcMar>
              <w:top w:w="113" w:type="dxa"/>
              <w:left w:w="113" w:type="dxa"/>
              <w:bottom w:w="113" w:type="dxa"/>
              <w:right w:w="113" w:type="dxa"/>
            </w:tcMar>
            <w:vAlign w:val="center"/>
          </w:tcPr>
          <w:p w14:paraId="18EA792C" w14:textId="77777777" w:rsidR="001A492C" w:rsidRPr="001A492C" w:rsidRDefault="001A492C" w:rsidP="00984EAF">
            <w:pPr>
              <w:pStyle w:val="CDITable-RowCentre"/>
            </w:pPr>
            <w:r w:rsidRPr="001A492C">
              <w:t>46</w:t>
            </w:r>
          </w:p>
        </w:tc>
        <w:tc>
          <w:tcPr>
            <w:tcW w:w="993" w:type="dxa"/>
            <w:tcBorders>
              <w:bottom w:val="single" w:sz="6" w:space="0" w:color="033636" w:themeColor="text2"/>
            </w:tcBorders>
            <w:tcMar>
              <w:top w:w="113" w:type="dxa"/>
              <w:left w:w="113" w:type="dxa"/>
              <w:bottom w:w="113" w:type="dxa"/>
              <w:right w:w="113" w:type="dxa"/>
            </w:tcMar>
            <w:vAlign w:val="center"/>
          </w:tcPr>
          <w:p w14:paraId="763739F0" w14:textId="77777777" w:rsidR="001A492C" w:rsidRPr="001A492C" w:rsidRDefault="001A492C" w:rsidP="00984EAF">
            <w:pPr>
              <w:pStyle w:val="CDITable-RowCentre"/>
            </w:pPr>
            <w:r w:rsidRPr="001A492C">
              <w:t>63.0</w:t>
            </w:r>
          </w:p>
        </w:tc>
        <w:tc>
          <w:tcPr>
            <w:tcW w:w="992" w:type="dxa"/>
            <w:tcBorders>
              <w:bottom w:val="single" w:sz="6" w:space="0" w:color="033636" w:themeColor="text2"/>
            </w:tcBorders>
            <w:tcMar>
              <w:top w:w="113" w:type="dxa"/>
              <w:left w:w="113" w:type="dxa"/>
              <w:bottom w:w="113" w:type="dxa"/>
              <w:right w:w="113" w:type="dxa"/>
            </w:tcMar>
            <w:vAlign w:val="center"/>
          </w:tcPr>
          <w:p w14:paraId="3FB6ABCA" w14:textId="77777777" w:rsidR="001A492C" w:rsidRPr="001A492C" w:rsidRDefault="001A492C" w:rsidP="00984EAF">
            <w:pPr>
              <w:pStyle w:val="CDITable-RowCentre"/>
            </w:pPr>
            <w:r w:rsidRPr="001A492C">
              <w:t>1.3</w:t>
            </w:r>
          </w:p>
        </w:tc>
        <w:tc>
          <w:tcPr>
            <w:tcW w:w="992" w:type="dxa"/>
            <w:tcBorders>
              <w:bottom w:val="single" w:sz="6" w:space="0" w:color="033636" w:themeColor="text2"/>
            </w:tcBorders>
            <w:tcMar>
              <w:top w:w="113" w:type="dxa"/>
              <w:left w:w="113" w:type="dxa"/>
              <w:bottom w:w="113" w:type="dxa"/>
              <w:right w:w="113" w:type="dxa"/>
            </w:tcMar>
            <w:vAlign w:val="center"/>
          </w:tcPr>
          <w:p w14:paraId="5DE94B1C" w14:textId="77777777" w:rsidR="001A492C" w:rsidRPr="001A492C" w:rsidRDefault="001A492C" w:rsidP="00984EAF">
            <w:pPr>
              <w:pStyle w:val="CDITable-RowCentre"/>
            </w:pPr>
            <w:r w:rsidRPr="001A492C">
              <w:t>0.9–2.0</w:t>
            </w:r>
          </w:p>
        </w:tc>
        <w:tc>
          <w:tcPr>
            <w:tcW w:w="992" w:type="dxa"/>
            <w:tcBorders>
              <w:bottom w:val="single" w:sz="6" w:space="0" w:color="033636" w:themeColor="text2"/>
            </w:tcBorders>
            <w:tcMar>
              <w:top w:w="113" w:type="dxa"/>
              <w:left w:w="113" w:type="dxa"/>
              <w:bottom w:w="113" w:type="dxa"/>
              <w:right w:w="113" w:type="dxa"/>
            </w:tcMar>
            <w:vAlign w:val="center"/>
          </w:tcPr>
          <w:p w14:paraId="59F34C22" w14:textId="77777777" w:rsidR="001A492C" w:rsidRPr="001A492C" w:rsidRDefault="001A492C" w:rsidP="00984EAF">
            <w:pPr>
              <w:pStyle w:val="CDITable-RowCentre"/>
            </w:pPr>
            <w:r w:rsidRPr="001A492C">
              <w:t>0.65</w:t>
            </w:r>
          </w:p>
        </w:tc>
        <w:tc>
          <w:tcPr>
            <w:tcW w:w="992" w:type="dxa"/>
            <w:tcBorders>
              <w:bottom w:val="single" w:sz="6" w:space="0" w:color="033636" w:themeColor="text2"/>
            </w:tcBorders>
            <w:tcMar>
              <w:top w:w="113" w:type="dxa"/>
              <w:left w:w="113" w:type="dxa"/>
              <w:bottom w:w="113" w:type="dxa"/>
              <w:right w:w="113" w:type="dxa"/>
            </w:tcMar>
            <w:vAlign w:val="center"/>
          </w:tcPr>
          <w:p w14:paraId="65BCA1D2" w14:textId="77777777" w:rsidR="001A492C" w:rsidRPr="001A492C" w:rsidRDefault="001A492C" w:rsidP="00984EAF">
            <w:pPr>
              <w:pStyle w:val="CDITable-RowCentre"/>
            </w:pPr>
          </w:p>
        </w:tc>
        <w:tc>
          <w:tcPr>
            <w:tcW w:w="992" w:type="dxa"/>
            <w:tcBorders>
              <w:bottom w:val="single" w:sz="6" w:space="0" w:color="033636" w:themeColor="text2"/>
            </w:tcBorders>
            <w:tcMar>
              <w:top w:w="113" w:type="dxa"/>
              <w:left w:w="113" w:type="dxa"/>
              <w:bottom w:w="113" w:type="dxa"/>
              <w:right w:w="113" w:type="dxa"/>
            </w:tcMar>
            <w:vAlign w:val="center"/>
          </w:tcPr>
          <w:p w14:paraId="1098DD98" w14:textId="77777777" w:rsidR="001A492C" w:rsidRPr="001A492C" w:rsidRDefault="001A492C" w:rsidP="00984EAF">
            <w:pPr>
              <w:pStyle w:val="CDITable-RowCentre"/>
            </w:pPr>
          </w:p>
        </w:tc>
        <w:tc>
          <w:tcPr>
            <w:tcW w:w="992" w:type="dxa"/>
            <w:tcBorders>
              <w:bottom w:val="single" w:sz="6" w:space="0" w:color="033636" w:themeColor="text2"/>
            </w:tcBorders>
            <w:tcMar>
              <w:top w:w="113" w:type="dxa"/>
              <w:left w:w="113" w:type="dxa"/>
              <w:bottom w:w="113" w:type="dxa"/>
              <w:right w:w="113" w:type="dxa"/>
            </w:tcMar>
            <w:vAlign w:val="center"/>
          </w:tcPr>
          <w:p w14:paraId="5379BDB3" w14:textId="77777777" w:rsidR="001A492C" w:rsidRPr="001A492C" w:rsidRDefault="001A492C" w:rsidP="00984EAF">
            <w:pPr>
              <w:pStyle w:val="CDITable-RowCentre"/>
            </w:pPr>
          </w:p>
        </w:tc>
      </w:tr>
      <w:tr w:rsidR="001A492C" w:rsidRPr="00984EAF" w14:paraId="344E0DDC" w14:textId="77777777" w:rsidTr="001E3AC7">
        <w:trPr>
          <w:trHeight w:val="20"/>
        </w:trPr>
        <w:tc>
          <w:tcPr>
            <w:tcW w:w="14343" w:type="dxa"/>
            <w:gridSpan w:val="13"/>
            <w:tcBorders>
              <w:top w:val="single" w:sz="6" w:space="0" w:color="033636" w:themeColor="text2"/>
            </w:tcBorders>
            <w:shd w:val="clear" w:color="auto" w:fill="C5FFEF" w:themeFill="background2" w:themeFillTint="33"/>
            <w:tcMar>
              <w:top w:w="113" w:type="dxa"/>
              <w:left w:w="113" w:type="dxa"/>
              <w:bottom w:w="113" w:type="dxa"/>
              <w:right w:w="113" w:type="dxa"/>
            </w:tcMar>
            <w:vAlign w:val="center"/>
          </w:tcPr>
          <w:p w14:paraId="4BB68661" w14:textId="77777777" w:rsidR="001A492C" w:rsidRPr="00984EAF" w:rsidRDefault="001A492C" w:rsidP="00984EAF">
            <w:pPr>
              <w:pStyle w:val="CDITable-RowLeft"/>
              <w:rPr>
                <w:b/>
                <w:bCs/>
              </w:rPr>
            </w:pPr>
            <w:r w:rsidRPr="00984EAF">
              <w:rPr>
                <w:b/>
                <w:bCs/>
              </w:rPr>
              <w:t>Other</w:t>
            </w:r>
          </w:p>
        </w:tc>
      </w:tr>
      <w:tr w:rsidR="001A492C" w:rsidRPr="001A492C" w14:paraId="0B5F0C41" w14:textId="77777777" w:rsidTr="001A492C">
        <w:trPr>
          <w:trHeight w:val="20"/>
        </w:trPr>
        <w:tc>
          <w:tcPr>
            <w:tcW w:w="2438" w:type="dxa"/>
            <w:tcMar>
              <w:top w:w="113" w:type="dxa"/>
              <w:left w:w="113" w:type="dxa"/>
              <w:bottom w:w="113" w:type="dxa"/>
              <w:right w:w="113" w:type="dxa"/>
            </w:tcMar>
            <w:vAlign w:val="center"/>
          </w:tcPr>
          <w:p w14:paraId="31766EF7" w14:textId="77777777" w:rsidR="001A492C" w:rsidRPr="001A492C" w:rsidRDefault="001A492C" w:rsidP="00984EAF">
            <w:pPr>
              <w:pStyle w:val="CDITable-RowLeft"/>
            </w:pPr>
            <w:r w:rsidRPr="001A492C">
              <w:t>Sushi</w:t>
            </w:r>
          </w:p>
        </w:tc>
        <w:tc>
          <w:tcPr>
            <w:tcW w:w="992" w:type="dxa"/>
            <w:tcMar>
              <w:top w:w="113" w:type="dxa"/>
              <w:left w:w="113" w:type="dxa"/>
              <w:bottom w:w="113" w:type="dxa"/>
              <w:right w:w="113" w:type="dxa"/>
            </w:tcMar>
            <w:vAlign w:val="center"/>
          </w:tcPr>
          <w:p w14:paraId="278BBC7E" w14:textId="77777777" w:rsidR="001A492C" w:rsidRPr="001A492C" w:rsidRDefault="001A492C" w:rsidP="00984EAF">
            <w:pPr>
              <w:pStyle w:val="CDITable-RowCentre"/>
            </w:pPr>
            <w:r w:rsidRPr="001A492C">
              <w:t>4</w:t>
            </w:r>
          </w:p>
        </w:tc>
        <w:tc>
          <w:tcPr>
            <w:tcW w:w="992" w:type="dxa"/>
            <w:tcMar>
              <w:top w:w="113" w:type="dxa"/>
              <w:left w:w="113" w:type="dxa"/>
              <w:bottom w:w="113" w:type="dxa"/>
              <w:right w:w="113" w:type="dxa"/>
            </w:tcMar>
            <w:vAlign w:val="center"/>
          </w:tcPr>
          <w:p w14:paraId="36CB018B" w14:textId="77777777" w:rsidR="001A492C" w:rsidRPr="001A492C" w:rsidRDefault="001A492C" w:rsidP="00984EAF">
            <w:pPr>
              <w:pStyle w:val="CDITable-RowCentre"/>
            </w:pPr>
            <w:r w:rsidRPr="001A492C">
              <w:t>5</w:t>
            </w:r>
          </w:p>
        </w:tc>
        <w:tc>
          <w:tcPr>
            <w:tcW w:w="992" w:type="dxa"/>
            <w:tcMar>
              <w:top w:w="113" w:type="dxa"/>
              <w:left w:w="113" w:type="dxa"/>
              <w:bottom w:w="113" w:type="dxa"/>
              <w:right w:w="113" w:type="dxa"/>
            </w:tcMar>
            <w:vAlign w:val="center"/>
          </w:tcPr>
          <w:p w14:paraId="25070E2F" w14:textId="77777777" w:rsidR="001A492C" w:rsidRPr="001A492C" w:rsidRDefault="001A492C" w:rsidP="00984EAF">
            <w:pPr>
              <w:pStyle w:val="CDITable-RowCentre"/>
            </w:pPr>
            <w:r w:rsidRPr="001A492C">
              <w:t>80.0</w:t>
            </w:r>
          </w:p>
        </w:tc>
        <w:tc>
          <w:tcPr>
            <w:tcW w:w="992" w:type="dxa"/>
            <w:tcMar>
              <w:top w:w="113" w:type="dxa"/>
              <w:left w:w="113" w:type="dxa"/>
              <w:bottom w:w="113" w:type="dxa"/>
              <w:right w:w="113" w:type="dxa"/>
            </w:tcMar>
            <w:vAlign w:val="center"/>
          </w:tcPr>
          <w:p w14:paraId="1AB7EF01" w14:textId="77777777" w:rsidR="001A492C" w:rsidRPr="001A492C" w:rsidRDefault="001A492C" w:rsidP="00984EAF">
            <w:pPr>
              <w:pStyle w:val="CDITable-RowCentre"/>
            </w:pPr>
            <w:r w:rsidRPr="001A492C">
              <w:t>2</w:t>
            </w:r>
          </w:p>
        </w:tc>
        <w:tc>
          <w:tcPr>
            <w:tcW w:w="992" w:type="dxa"/>
            <w:tcMar>
              <w:top w:w="113" w:type="dxa"/>
              <w:left w:w="113" w:type="dxa"/>
              <w:bottom w:w="113" w:type="dxa"/>
              <w:right w:w="113" w:type="dxa"/>
            </w:tcMar>
            <w:vAlign w:val="center"/>
          </w:tcPr>
          <w:p w14:paraId="1D58A93F" w14:textId="77777777" w:rsidR="001A492C" w:rsidRPr="001A492C" w:rsidRDefault="001A492C" w:rsidP="00984EAF">
            <w:pPr>
              <w:pStyle w:val="CDITable-RowCentre"/>
            </w:pPr>
            <w:r w:rsidRPr="001A492C">
              <w:t>2</w:t>
            </w:r>
          </w:p>
        </w:tc>
        <w:tc>
          <w:tcPr>
            <w:tcW w:w="993" w:type="dxa"/>
            <w:tcMar>
              <w:top w:w="113" w:type="dxa"/>
              <w:left w:w="113" w:type="dxa"/>
              <w:bottom w:w="113" w:type="dxa"/>
              <w:right w:w="113" w:type="dxa"/>
            </w:tcMar>
            <w:vAlign w:val="center"/>
          </w:tcPr>
          <w:p w14:paraId="6D618BFC" w14:textId="77777777" w:rsidR="001A492C" w:rsidRPr="001A492C" w:rsidRDefault="001A492C" w:rsidP="00984EAF">
            <w:pPr>
              <w:pStyle w:val="CDITable-RowCentre"/>
            </w:pPr>
            <w:r w:rsidRPr="001A492C">
              <w:t>100.0</w:t>
            </w:r>
          </w:p>
        </w:tc>
        <w:tc>
          <w:tcPr>
            <w:tcW w:w="992" w:type="dxa"/>
            <w:tcMar>
              <w:top w:w="113" w:type="dxa"/>
              <w:left w:w="113" w:type="dxa"/>
              <w:bottom w:w="113" w:type="dxa"/>
              <w:right w:w="113" w:type="dxa"/>
            </w:tcMar>
            <w:vAlign w:val="center"/>
          </w:tcPr>
          <w:p w14:paraId="524421EE" w14:textId="77777777" w:rsidR="001A492C" w:rsidRPr="001A492C" w:rsidRDefault="001A492C" w:rsidP="00984EAF">
            <w:pPr>
              <w:pStyle w:val="CDITable-RowCentre"/>
            </w:pPr>
            <w:r w:rsidRPr="001A492C">
              <w:t>0.8</w:t>
            </w:r>
          </w:p>
        </w:tc>
        <w:tc>
          <w:tcPr>
            <w:tcW w:w="992" w:type="dxa"/>
            <w:tcMar>
              <w:top w:w="113" w:type="dxa"/>
              <w:left w:w="113" w:type="dxa"/>
              <w:bottom w:w="113" w:type="dxa"/>
              <w:right w:w="113" w:type="dxa"/>
            </w:tcMar>
            <w:vAlign w:val="center"/>
          </w:tcPr>
          <w:p w14:paraId="1AD68A25" w14:textId="77777777" w:rsidR="001A492C" w:rsidRPr="001A492C" w:rsidRDefault="001A492C" w:rsidP="00984EAF">
            <w:pPr>
              <w:pStyle w:val="CDITable-RowCentre"/>
            </w:pPr>
            <w:r w:rsidRPr="001A492C">
              <w:t>0.5–1.2</w:t>
            </w:r>
          </w:p>
        </w:tc>
        <w:tc>
          <w:tcPr>
            <w:tcW w:w="992" w:type="dxa"/>
            <w:tcMar>
              <w:top w:w="113" w:type="dxa"/>
              <w:left w:w="113" w:type="dxa"/>
              <w:bottom w:w="113" w:type="dxa"/>
              <w:right w:w="113" w:type="dxa"/>
            </w:tcMar>
            <w:vAlign w:val="center"/>
          </w:tcPr>
          <w:p w14:paraId="337E6963" w14:textId="77777777" w:rsidR="001A492C" w:rsidRPr="001A492C" w:rsidRDefault="001A492C" w:rsidP="00984EAF">
            <w:pPr>
              <w:pStyle w:val="CDITable-RowCentre"/>
            </w:pPr>
            <w:r w:rsidRPr="001A492C">
              <w:t>1</w:t>
            </w:r>
          </w:p>
        </w:tc>
        <w:tc>
          <w:tcPr>
            <w:tcW w:w="992" w:type="dxa"/>
            <w:tcMar>
              <w:top w:w="113" w:type="dxa"/>
              <w:left w:w="113" w:type="dxa"/>
              <w:bottom w:w="113" w:type="dxa"/>
              <w:right w:w="113" w:type="dxa"/>
            </w:tcMar>
            <w:vAlign w:val="center"/>
          </w:tcPr>
          <w:p w14:paraId="139DBA6F" w14:textId="77777777" w:rsidR="001A492C" w:rsidRPr="001A492C" w:rsidRDefault="001A492C" w:rsidP="00984EAF">
            <w:pPr>
              <w:pStyle w:val="CDITable-RowCentre"/>
            </w:pPr>
          </w:p>
        </w:tc>
        <w:tc>
          <w:tcPr>
            <w:tcW w:w="992" w:type="dxa"/>
            <w:tcMar>
              <w:top w:w="113" w:type="dxa"/>
              <w:left w:w="113" w:type="dxa"/>
              <w:bottom w:w="113" w:type="dxa"/>
              <w:right w:w="113" w:type="dxa"/>
            </w:tcMar>
            <w:vAlign w:val="center"/>
          </w:tcPr>
          <w:p w14:paraId="2505E208" w14:textId="77777777" w:rsidR="001A492C" w:rsidRPr="001A492C" w:rsidRDefault="001A492C" w:rsidP="00984EAF">
            <w:pPr>
              <w:pStyle w:val="CDITable-RowCentre"/>
            </w:pPr>
          </w:p>
        </w:tc>
        <w:tc>
          <w:tcPr>
            <w:tcW w:w="992" w:type="dxa"/>
            <w:tcMar>
              <w:top w:w="113" w:type="dxa"/>
              <w:left w:w="113" w:type="dxa"/>
              <w:bottom w:w="113" w:type="dxa"/>
              <w:right w:w="113" w:type="dxa"/>
            </w:tcMar>
            <w:vAlign w:val="center"/>
          </w:tcPr>
          <w:p w14:paraId="6DBD1F1A" w14:textId="77777777" w:rsidR="001A492C" w:rsidRPr="001A492C" w:rsidRDefault="001A492C" w:rsidP="00984EAF">
            <w:pPr>
              <w:pStyle w:val="CDITable-RowCentre"/>
            </w:pPr>
          </w:p>
        </w:tc>
      </w:tr>
      <w:tr w:rsidR="001A492C" w:rsidRPr="001A492C" w14:paraId="0FD14711" w14:textId="77777777" w:rsidTr="00984EAF">
        <w:trPr>
          <w:trHeight w:val="20"/>
        </w:trPr>
        <w:tc>
          <w:tcPr>
            <w:tcW w:w="2438" w:type="dxa"/>
            <w:tcMar>
              <w:top w:w="113" w:type="dxa"/>
              <w:left w:w="113" w:type="dxa"/>
              <w:bottom w:w="113" w:type="dxa"/>
              <w:right w:w="113" w:type="dxa"/>
            </w:tcMar>
            <w:vAlign w:val="center"/>
          </w:tcPr>
          <w:p w14:paraId="5865CAFD" w14:textId="77777777" w:rsidR="001A492C" w:rsidRPr="001A492C" w:rsidRDefault="001A492C" w:rsidP="00984EAF">
            <w:pPr>
              <w:pStyle w:val="CDITable-RowLeft"/>
            </w:pPr>
            <w:r w:rsidRPr="001A492C">
              <w:t>Fruit</w:t>
            </w:r>
          </w:p>
        </w:tc>
        <w:tc>
          <w:tcPr>
            <w:tcW w:w="992" w:type="dxa"/>
            <w:tcMar>
              <w:top w:w="113" w:type="dxa"/>
              <w:left w:w="113" w:type="dxa"/>
              <w:bottom w:w="113" w:type="dxa"/>
              <w:right w:w="113" w:type="dxa"/>
            </w:tcMar>
            <w:vAlign w:val="center"/>
          </w:tcPr>
          <w:p w14:paraId="542940A6" w14:textId="77777777" w:rsidR="001A492C" w:rsidRPr="001A492C" w:rsidRDefault="001A492C" w:rsidP="00984EAF">
            <w:pPr>
              <w:pStyle w:val="CDITable-RowCentre"/>
            </w:pPr>
            <w:r w:rsidRPr="001A492C">
              <w:t>19</w:t>
            </w:r>
          </w:p>
        </w:tc>
        <w:tc>
          <w:tcPr>
            <w:tcW w:w="992" w:type="dxa"/>
            <w:tcMar>
              <w:top w:w="113" w:type="dxa"/>
              <w:left w:w="113" w:type="dxa"/>
              <w:bottom w:w="113" w:type="dxa"/>
              <w:right w:w="113" w:type="dxa"/>
            </w:tcMar>
            <w:vAlign w:val="center"/>
          </w:tcPr>
          <w:p w14:paraId="4DA1F9FE" w14:textId="77777777" w:rsidR="001A492C" w:rsidRPr="001A492C" w:rsidRDefault="001A492C" w:rsidP="00984EAF">
            <w:pPr>
              <w:pStyle w:val="CDITable-RowCentre"/>
            </w:pPr>
            <w:r w:rsidRPr="001A492C">
              <w:t>27</w:t>
            </w:r>
          </w:p>
        </w:tc>
        <w:tc>
          <w:tcPr>
            <w:tcW w:w="992" w:type="dxa"/>
            <w:tcMar>
              <w:top w:w="113" w:type="dxa"/>
              <w:left w:w="113" w:type="dxa"/>
              <w:bottom w:w="113" w:type="dxa"/>
              <w:right w:w="113" w:type="dxa"/>
            </w:tcMar>
            <w:vAlign w:val="center"/>
          </w:tcPr>
          <w:p w14:paraId="5A006F5F" w14:textId="77777777" w:rsidR="001A492C" w:rsidRPr="001A492C" w:rsidRDefault="001A492C" w:rsidP="00984EAF">
            <w:pPr>
              <w:pStyle w:val="CDITable-RowCentre"/>
            </w:pPr>
            <w:r w:rsidRPr="001A492C">
              <w:t>70.4</w:t>
            </w:r>
          </w:p>
        </w:tc>
        <w:tc>
          <w:tcPr>
            <w:tcW w:w="992" w:type="dxa"/>
            <w:tcMar>
              <w:top w:w="113" w:type="dxa"/>
              <w:left w:w="113" w:type="dxa"/>
              <w:bottom w:w="113" w:type="dxa"/>
              <w:right w:w="113" w:type="dxa"/>
            </w:tcMar>
            <w:vAlign w:val="center"/>
          </w:tcPr>
          <w:p w14:paraId="5DBD7124" w14:textId="77777777" w:rsidR="001A492C" w:rsidRPr="001A492C" w:rsidRDefault="001A492C" w:rsidP="00984EAF">
            <w:pPr>
              <w:pStyle w:val="CDITable-RowCentre"/>
            </w:pPr>
            <w:r w:rsidRPr="001A492C">
              <w:t>15</w:t>
            </w:r>
          </w:p>
        </w:tc>
        <w:tc>
          <w:tcPr>
            <w:tcW w:w="992" w:type="dxa"/>
            <w:tcMar>
              <w:top w:w="113" w:type="dxa"/>
              <w:left w:w="113" w:type="dxa"/>
              <w:bottom w:w="113" w:type="dxa"/>
              <w:right w:w="113" w:type="dxa"/>
            </w:tcMar>
            <w:vAlign w:val="center"/>
          </w:tcPr>
          <w:p w14:paraId="47AA65EB" w14:textId="77777777" w:rsidR="001A492C" w:rsidRPr="001A492C" w:rsidRDefault="001A492C" w:rsidP="00984EAF">
            <w:pPr>
              <w:pStyle w:val="CDITable-RowCentre"/>
            </w:pPr>
            <w:r w:rsidRPr="001A492C">
              <w:t>25</w:t>
            </w:r>
          </w:p>
        </w:tc>
        <w:tc>
          <w:tcPr>
            <w:tcW w:w="993" w:type="dxa"/>
            <w:tcMar>
              <w:top w:w="113" w:type="dxa"/>
              <w:left w:w="113" w:type="dxa"/>
              <w:bottom w:w="113" w:type="dxa"/>
              <w:right w:w="113" w:type="dxa"/>
            </w:tcMar>
            <w:vAlign w:val="center"/>
          </w:tcPr>
          <w:p w14:paraId="6F14BB2A" w14:textId="77777777" w:rsidR="001A492C" w:rsidRPr="001A492C" w:rsidRDefault="001A492C" w:rsidP="00984EAF">
            <w:pPr>
              <w:pStyle w:val="CDITable-RowCentre"/>
            </w:pPr>
            <w:r w:rsidRPr="001A492C">
              <w:t>60.0</w:t>
            </w:r>
          </w:p>
        </w:tc>
        <w:tc>
          <w:tcPr>
            <w:tcW w:w="992" w:type="dxa"/>
            <w:tcMar>
              <w:top w:w="113" w:type="dxa"/>
              <w:left w:w="113" w:type="dxa"/>
              <w:bottom w:w="113" w:type="dxa"/>
              <w:right w:w="113" w:type="dxa"/>
            </w:tcMar>
            <w:vAlign w:val="center"/>
          </w:tcPr>
          <w:p w14:paraId="095D2F73" w14:textId="77777777" w:rsidR="001A492C" w:rsidRPr="001A492C" w:rsidRDefault="001A492C" w:rsidP="00984EAF">
            <w:pPr>
              <w:pStyle w:val="CDITable-RowCentre"/>
            </w:pPr>
            <w:r w:rsidRPr="001A492C">
              <w:t>1.2</w:t>
            </w:r>
          </w:p>
        </w:tc>
        <w:tc>
          <w:tcPr>
            <w:tcW w:w="992" w:type="dxa"/>
            <w:tcMar>
              <w:top w:w="113" w:type="dxa"/>
              <w:left w:w="113" w:type="dxa"/>
              <w:bottom w:w="113" w:type="dxa"/>
              <w:right w:w="113" w:type="dxa"/>
            </w:tcMar>
            <w:vAlign w:val="center"/>
          </w:tcPr>
          <w:p w14:paraId="56F2058D" w14:textId="77777777" w:rsidR="001A492C" w:rsidRPr="001A492C" w:rsidRDefault="001A492C" w:rsidP="00984EAF">
            <w:pPr>
              <w:pStyle w:val="CDITable-RowCentre"/>
            </w:pPr>
            <w:r w:rsidRPr="001A492C">
              <w:t>0.8–1.8</w:t>
            </w:r>
          </w:p>
        </w:tc>
        <w:tc>
          <w:tcPr>
            <w:tcW w:w="992" w:type="dxa"/>
            <w:tcMar>
              <w:top w:w="113" w:type="dxa"/>
              <w:left w:w="113" w:type="dxa"/>
              <w:bottom w:w="113" w:type="dxa"/>
              <w:right w:w="113" w:type="dxa"/>
            </w:tcMar>
            <w:vAlign w:val="center"/>
          </w:tcPr>
          <w:p w14:paraId="1DCBC399" w14:textId="77777777" w:rsidR="001A492C" w:rsidRPr="001A492C" w:rsidRDefault="001A492C" w:rsidP="00984EAF">
            <w:pPr>
              <w:pStyle w:val="CDITable-RowCentre"/>
            </w:pPr>
            <w:r w:rsidRPr="001A492C">
              <w:t>0.43</w:t>
            </w:r>
          </w:p>
        </w:tc>
        <w:tc>
          <w:tcPr>
            <w:tcW w:w="992" w:type="dxa"/>
            <w:tcMar>
              <w:top w:w="113" w:type="dxa"/>
              <w:left w:w="113" w:type="dxa"/>
              <w:bottom w:w="113" w:type="dxa"/>
              <w:right w:w="113" w:type="dxa"/>
            </w:tcMar>
            <w:vAlign w:val="center"/>
          </w:tcPr>
          <w:p w14:paraId="2D1B821A" w14:textId="77777777" w:rsidR="001A492C" w:rsidRPr="001A492C" w:rsidRDefault="001A492C" w:rsidP="00984EAF">
            <w:pPr>
              <w:pStyle w:val="CDITable-RowCentre"/>
            </w:pPr>
          </w:p>
        </w:tc>
        <w:tc>
          <w:tcPr>
            <w:tcW w:w="992" w:type="dxa"/>
            <w:tcMar>
              <w:top w:w="113" w:type="dxa"/>
              <w:left w:w="113" w:type="dxa"/>
              <w:bottom w:w="113" w:type="dxa"/>
              <w:right w:w="113" w:type="dxa"/>
            </w:tcMar>
            <w:vAlign w:val="center"/>
          </w:tcPr>
          <w:p w14:paraId="135AD7CB" w14:textId="77777777" w:rsidR="001A492C" w:rsidRPr="001A492C" w:rsidRDefault="001A492C" w:rsidP="00984EAF">
            <w:pPr>
              <w:pStyle w:val="CDITable-RowCentre"/>
            </w:pPr>
          </w:p>
        </w:tc>
        <w:tc>
          <w:tcPr>
            <w:tcW w:w="992" w:type="dxa"/>
            <w:tcMar>
              <w:top w:w="113" w:type="dxa"/>
              <w:left w:w="113" w:type="dxa"/>
              <w:bottom w:w="113" w:type="dxa"/>
              <w:right w:w="113" w:type="dxa"/>
            </w:tcMar>
            <w:vAlign w:val="center"/>
          </w:tcPr>
          <w:p w14:paraId="1F155101" w14:textId="77777777" w:rsidR="001A492C" w:rsidRPr="001A492C" w:rsidRDefault="001A492C" w:rsidP="00984EAF">
            <w:pPr>
              <w:pStyle w:val="CDITable-RowCentre"/>
            </w:pPr>
          </w:p>
        </w:tc>
      </w:tr>
      <w:tr w:rsidR="001A492C" w:rsidRPr="001A492C" w14:paraId="3EF88410" w14:textId="77777777" w:rsidTr="00984EAF">
        <w:trPr>
          <w:trHeight w:val="20"/>
        </w:trPr>
        <w:tc>
          <w:tcPr>
            <w:tcW w:w="2438" w:type="dxa"/>
            <w:tcBorders>
              <w:bottom w:val="single" w:sz="6" w:space="0" w:color="033636" w:themeColor="text2"/>
            </w:tcBorders>
            <w:tcMar>
              <w:top w:w="113" w:type="dxa"/>
              <w:left w:w="113" w:type="dxa"/>
              <w:bottom w:w="113" w:type="dxa"/>
              <w:right w:w="113" w:type="dxa"/>
            </w:tcMar>
            <w:vAlign w:val="center"/>
          </w:tcPr>
          <w:p w14:paraId="6AA01763" w14:textId="77777777" w:rsidR="001A492C" w:rsidRPr="001A492C" w:rsidRDefault="001A492C" w:rsidP="00984EAF">
            <w:pPr>
              <w:pStyle w:val="CDITable-RowLeft"/>
            </w:pPr>
            <w:r w:rsidRPr="001A492C">
              <w:t>Sweets (tarts, slices, cakes)</w:t>
            </w:r>
          </w:p>
        </w:tc>
        <w:tc>
          <w:tcPr>
            <w:tcW w:w="992" w:type="dxa"/>
            <w:tcBorders>
              <w:bottom w:val="single" w:sz="6" w:space="0" w:color="033636" w:themeColor="text2"/>
            </w:tcBorders>
            <w:tcMar>
              <w:top w:w="113" w:type="dxa"/>
              <w:left w:w="113" w:type="dxa"/>
              <w:bottom w:w="113" w:type="dxa"/>
              <w:right w:w="113" w:type="dxa"/>
            </w:tcMar>
            <w:vAlign w:val="center"/>
          </w:tcPr>
          <w:p w14:paraId="1AAE245B" w14:textId="77777777" w:rsidR="001A492C" w:rsidRPr="001A492C" w:rsidRDefault="001A492C" w:rsidP="00984EAF">
            <w:pPr>
              <w:pStyle w:val="CDITable-RowCentre"/>
            </w:pPr>
            <w:r w:rsidRPr="001A492C">
              <w:t>13</w:t>
            </w:r>
          </w:p>
        </w:tc>
        <w:tc>
          <w:tcPr>
            <w:tcW w:w="992" w:type="dxa"/>
            <w:tcBorders>
              <w:bottom w:val="single" w:sz="6" w:space="0" w:color="033636" w:themeColor="text2"/>
            </w:tcBorders>
            <w:tcMar>
              <w:top w:w="113" w:type="dxa"/>
              <w:left w:w="113" w:type="dxa"/>
              <w:bottom w:w="113" w:type="dxa"/>
              <w:right w:w="113" w:type="dxa"/>
            </w:tcMar>
            <w:vAlign w:val="center"/>
          </w:tcPr>
          <w:p w14:paraId="25B58669" w14:textId="77777777" w:rsidR="001A492C" w:rsidRPr="001A492C" w:rsidRDefault="001A492C" w:rsidP="00984EAF">
            <w:pPr>
              <w:pStyle w:val="CDITable-RowCentre"/>
            </w:pPr>
            <w:r w:rsidRPr="001A492C">
              <w:t>21</w:t>
            </w:r>
          </w:p>
        </w:tc>
        <w:tc>
          <w:tcPr>
            <w:tcW w:w="992" w:type="dxa"/>
            <w:tcBorders>
              <w:bottom w:val="single" w:sz="6" w:space="0" w:color="033636" w:themeColor="text2"/>
            </w:tcBorders>
            <w:tcMar>
              <w:top w:w="113" w:type="dxa"/>
              <w:left w:w="113" w:type="dxa"/>
              <w:bottom w:w="113" w:type="dxa"/>
              <w:right w:w="113" w:type="dxa"/>
            </w:tcMar>
            <w:vAlign w:val="center"/>
          </w:tcPr>
          <w:p w14:paraId="3FF22B55" w14:textId="77777777" w:rsidR="001A492C" w:rsidRPr="001A492C" w:rsidRDefault="001A492C" w:rsidP="00984EAF">
            <w:pPr>
              <w:pStyle w:val="CDITable-RowCentre"/>
            </w:pPr>
            <w:r w:rsidRPr="001A492C">
              <w:t>61.9</w:t>
            </w:r>
          </w:p>
        </w:tc>
        <w:tc>
          <w:tcPr>
            <w:tcW w:w="992" w:type="dxa"/>
            <w:tcBorders>
              <w:bottom w:val="single" w:sz="6" w:space="0" w:color="033636" w:themeColor="text2"/>
            </w:tcBorders>
            <w:tcMar>
              <w:top w:w="113" w:type="dxa"/>
              <w:left w:w="113" w:type="dxa"/>
              <w:bottom w:w="113" w:type="dxa"/>
              <w:right w:w="113" w:type="dxa"/>
            </w:tcMar>
            <w:vAlign w:val="center"/>
          </w:tcPr>
          <w:p w14:paraId="487536C4" w14:textId="77777777" w:rsidR="001A492C" w:rsidRPr="001A492C" w:rsidRDefault="001A492C" w:rsidP="00984EAF">
            <w:pPr>
              <w:pStyle w:val="CDITable-RowCentre"/>
            </w:pPr>
            <w:r w:rsidRPr="001A492C">
              <w:t>10</w:t>
            </w:r>
          </w:p>
        </w:tc>
        <w:tc>
          <w:tcPr>
            <w:tcW w:w="992" w:type="dxa"/>
            <w:tcBorders>
              <w:bottom w:val="single" w:sz="6" w:space="0" w:color="033636" w:themeColor="text2"/>
            </w:tcBorders>
            <w:tcMar>
              <w:top w:w="113" w:type="dxa"/>
              <w:left w:w="113" w:type="dxa"/>
              <w:bottom w:w="113" w:type="dxa"/>
              <w:right w:w="113" w:type="dxa"/>
            </w:tcMar>
            <w:vAlign w:val="center"/>
          </w:tcPr>
          <w:p w14:paraId="53C2E3B4" w14:textId="77777777" w:rsidR="001A492C" w:rsidRPr="001A492C" w:rsidRDefault="001A492C" w:rsidP="00984EAF">
            <w:pPr>
              <w:pStyle w:val="CDITable-RowCentre"/>
            </w:pPr>
            <w:r w:rsidRPr="001A492C">
              <w:t>15</w:t>
            </w:r>
          </w:p>
        </w:tc>
        <w:tc>
          <w:tcPr>
            <w:tcW w:w="993" w:type="dxa"/>
            <w:tcBorders>
              <w:bottom w:val="single" w:sz="6" w:space="0" w:color="033636" w:themeColor="text2"/>
            </w:tcBorders>
            <w:tcMar>
              <w:top w:w="113" w:type="dxa"/>
              <w:left w:w="113" w:type="dxa"/>
              <w:bottom w:w="113" w:type="dxa"/>
              <w:right w:w="113" w:type="dxa"/>
            </w:tcMar>
            <w:vAlign w:val="center"/>
          </w:tcPr>
          <w:p w14:paraId="76A65CCF" w14:textId="77777777" w:rsidR="001A492C" w:rsidRPr="001A492C" w:rsidRDefault="001A492C" w:rsidP="00984EAF">
            <w:pPr>
              <w:pStyle w:val="CDITable-RowCentre"/>
            </w:pPr>
            <w:r w:rsidRPr="001A492C">
              <w:t>66.7</w:t>
            </w:r>
          </w:p>
        </w:tc>
        <w:tc>
          <w:tcPr>
            <w:tcW w:w="992" w:type="dxa"/>
            <w:tcBorders>
              <w:bottom w:val="single" w:sz="6" w:space="0" w:color="033636" w:themeColor="text2"/>
            </w:tcBorders>
            <w:tcMar>
              <w:top w:w="113" w:type="dxa"/>
              <w:left w:w="113" w:type="dxa"/>
              <w:bottom w:w="113" w:type="dxa"/>
              <w:right w:w="113" w:type="dxa"/>
            </w:tcMar>
            <w:vAlign w:val="center"/>
          </w:tcPr>
          <w:p w14:paraId="67436B08" w14:textId="77777777" w:rsidR="001A492C" w:rsidRPr="001A492C" w:rsidRDefault="001A492C" w:rsidP="00984EAF">
            <w:pPr>
              <w:pStyle w:val="CDITable-RowCentre"/>
            </w:pPr>
            <w:r w:rsidRPr="001A492C">
              <w:t>0.9</w:t>
            </w:r>
          </w:p>
        </w:tc>
        <w:tc>
          <w:tcPr>
            <w:tcW w:w="992" w:type="dxa"/>
            <w:tcBorders>
              <w:bottom w:val="single" w:sz="6" w:space="0" w:color="033636" w:themeColor="text2"/>
            </w:tcBorders>
            <w:tcMar>
              <w:top w:w="113" w:type="dxa"/>
              <w:left w:w="113" w:type="dxa"/>
              <w:bottom w:w="113" w:type="dxa"/>
              <w:right w:w="113" w:type="dxa"/>
            </w:tcMar>
            <w:vAlign w:val="center"/>
          </w:tcPr>
          <w:p w14:paraId="206DF93C" w14:textId="77777777" w:rsidR="001A492C" w:rsidRPr="001A492C" w:rsidRDefault="001A492C" w:rsidP="00984EAF">
            <w:pPr>
              <w:pStyle w:val="CDITable-RowCentre"/>
            </w:pPr>
            <w:r w:rsidRPr="001A492C">
              <w:t>0.6–1.5</w:t>
            </w:r>
          </w:p>
        </w:tc>
        <w:tc>
          <w:tcPr>
            <w:tcW w:w="992" w:type="dxa"/>
            <w:tcBorders>
              <w:bottom w:val="single" w:sz="6" w:space="0" w:color="033636" w:themeColor="text2"/>
            </w:tcBorders>
            <w:tcMar>
              <w:top w:w="113" w:type="dxa"/>
              <w:left w:w="113" w:type="dxa"/>
              <w:bottom w:w="113" w:type="dxa"/>
              <w:right w:w="113" w:type="dxa"/>
            </w:tcMar>
            <w:vAlign w:val="center"/>
          </w:tcPr>
          <w:p w14:paraId="35FF38C8" w14:textId="77777777" w:rsidR="001A492C" w:rsidRPr="001A492C" w:rsidRDefault="001A492C" w:rsidP="00984EAF">
            <w:pPr>
              <w:pStyle w:val="CDITable-RowCentre"/>
            </w:pPr>
            <w:r w:rsidRPr="001A492C">
              <w:t>0.77</w:t>
            </w:r>
          </w:p>
        </w:tc>
        <w:tc>
          <w:tcPr>
            <w:tcW w:w="992" w:type="dxa"/>
            <w:tcBorders>
              <w:bottom w:val="single" w:sz="6" w:space="0" w:color="033636" w:themeColor="text2"/>
            </w:tcBorders>
            <w:tcMar>
              <w:top w:w="113" w:type="dxa"/>
              <w:left w:w="113" w:type="dxa"/>
              <w:bottom w:w="113" w:type="dxa"/>
              <w:right w:w="113" w:type="dxa"/>
            </w:tcMar>
            <w:vAlign w:val="center"/>
          </w:tcPr>
          <w:p w14:paraId="1B321D29" w14:textId="77777777" w:rsidR="001A492C" w:rsidRPr="001A492C" w:rsidRDefault="001A492C" w:rsidP="00984EAF">
            <w:pPr>
              <w:pStyle w:val="CDITable-RowCentre"/>
            </w:pPr>
          </w:p>
        </w:tc>
        <w:tc>
          <w:tcPr>
            <w:tcW w:w="992" w:type="dxa"/>
            <w:tcBorders>
              <w:bottom w:val="single" w:sz="6" w:space="0" w:color="033636" w:themeColor="text2"/>
            </w:tcBorders>
            <w:tcMar>
              <w:top w:w="113" w:type="dxa"/>
              <w:left w:w="113" w:type="dxa"/>
              <w:bottom w:w="113" w:type="dxa"/>
              <w:right w:w="113" w:type="dxa"/>
            </w:tcMar>
            <w:vAlign w:val="center"/>
          </w:tcPr>
          <w:p w14:paraId="6C9572D3" w14:textId="77777777" w:rsidR="001A492C" w:rsidRPr="001A492C" w:rsidRDefault="001A492C" w:rsidP="00984EAF">
            <w:pPr>
              <w:pStyle w:val="CDITable-RowCentre"/>
            </w:pPr>
          </w:p>
        </w:tc>
        <w:tc>
          <w:tcPr>
            <w:tcW w:w="992" w:type="dxa"/>
            <w:tcBorders>
              <w:bottom w:val="single" w:sz="6" w:space="0" w:color="033636" w:themeColor="text2"/>
            </w:tcBorders>
            <w:tcMar>
              <w:top w:w="113" w:type="dxa"/>
              <w:left w:w="113" w:type="dxa"/>
              <w:bottom w:w="113" w:type="dxa"/>
              <w:right w:w="113" w:type="dxa"/>
            </w:tcMar>
            <w:vAlign w:val="center"/>
          </w:tcPr>
          <w:p w14:paraId="3C630D0D" w14:textId="77777777" w:rsidR="001A492C" w:rsidRPr="001A492C" w:rsidRDefault="001A492C" w:rsidP="00984EAF">
            <w:pPr>
              <w:pStyle w:val="CDITable-RowCentre"/>
            </w:pPr>
          </w:p>
        </w:tc>
      </w:tr>
    </w:tbl>
    <w:p w14:paraId="2E38FC9B" w14:textId="4A762CDD" w:rsidR="001A492C" w:rsidRDefault="001A492C" w:rsidP="001A492C">
      <w:pPr>
        <w:pStyle w:val="CDITable-Firstfootnote"/>
      </w:pPr>
      <w:proofErr w:type="gramStart"/>
      <w:r w:rsidRPr="001A492C">
        <w:t>a</w:t>
      </w:r>
      <w:proofErr w:type="gramEnd"/>
      <w:r w:rsidRPr="001A492C">
        <w:tab/>
        <w:t xml:space="preserve">AR: attack rate; RR: risk ratio; CI: confidence interval; </w:t>
      </w:r>
      <w:proofErr w:type="spellStart"/>
      <w:r w:rsidRPr="001A492C">
        <w:t>aRR</w:t>
      </w:r>
      <w:proofErr w:type="spellEnd"/>
      <w:r w:rsidRPr="001A492C">
        <w:t>: adjusted risk ratio.</w:t>
      </w:r>
      <w:r>
        <w:br w:type="page"/>
      </w:r>
    </w:p>
    <w:p w14:paraId="031E9683" w14:textId="1EBA06F8" w:rsidR="001A492C" w:rsidRDefault="001A492C" w:rsidP="001A492C">
      <w:pPr>
        <w:pStyle w:val="CDITable-Title"/>
        <w:divId w:val="935526654"/>
      </w:pPr>
      <w:r w:rsidRPr="001A492C">
        <w:lastRenderedPageBreak/>
        <w:t>Table 2: Univariate and multivariable analyses of risk factors for illness at events supplied by a single caterer, Canberra, Thursday 17 November 2022</w:t>
      </w:r>
    </w:p>
    <w:tbl>
      <w:tblPr>
        <w:tblW w:w="0" w:type="auto"/>
        <w:tblLayout w:type="fixed"/>
        <w:tblCellMar>
          <w:left w:w="0" w:type="dxa"/>
          <w:right w:w="0" w:type="dxa"/>
        </w:tblCellMar>
        <w:tblLook w:val="0000" w:firstRow="0" w:lastRow="0" w:firstColumn="0" w:lastColumn="0" w:noHBand="0" w:noVBand="0"/>
        <w:tblCaption w:val="Table 2: Univariate and multivariable analyses of risk factors for illness at events supplied by a single caterer, Canberra, Thursday 17 November 2022"/>
        <w:tblDescription w:val="Table 2 shows the risk ratio, 95% confidence interval and p value results for the univariate and multivariable analyses of risk factors for illness at events supplied by the caterer on Thursday 17 November 2022. Risk factors include sushi, wraps and sandwiches with various fillings, as well as hot food, rice paper rolls, fruit and sweets."/>
      </w:tblPr>
      <w:tblGrid>
        <w:gridCol w:w="2438"/>
        <w:gridCol w:w="992"/>
        <w:gridCol w:w="992"/>
        <w:gridCol w:w="992"/>
        <w:gridCol w:w="992"/>
        <w:gridCol w:w="992"/>
        <w:gridCol w:w="993"/>
        <w:gridCol w:w="992"/>
        <w:gridCol w:w="992"/>
        <w:gridCol w:w="992"/>
        <w:gridCol w:w="992"/>
        <w:gridCol w:w="992"/>
        <w:gridCol w:w="992"/>
      </w:tblGrid>
      <w:tr w:rsidR="001D5BE6" w:rsidRPr="001D5BE6" w14:paraId="6E378063" w14:textId="77777777" w:rsidTr="001E3AC7">
        <w:trPr>
          <w:divId w:val="935526654"/>
          <w:trHeight w:val="20"/>
          <w:tblHeader/>
        </w:trPr>
        <w:tc>
          <w:tcPr>
            <w:tcW w:w="2438" w:type="dxa"/>
            <w:vMerge w:val="restart"/>
            <w:shd w:val="clear" w:color="auto" w:fill="033636" w:themeFill="text2"/>
            <w:tcMar>
              <w:top w:w="113" w:type="dxa"/>
              <w:left w:w="113" w:type="dxa"/>
              <w:bottom w:w="113" w:type="dxa"/>
              <w:right w:w="113" w:type="dxa"/>
            </w:tcMar>
            <w:vAlign w:val="bottom"/>
          </w:tcPr>
          <w:p w14:paraId="7B6FA205" w14:textId="77777777" w:rsidR="001D5BE6" w:rsidRPr="001D5BE6" w:rsidRDefault="001D5BE6" w:rsidP="001E3AC7">
            <w:pPr>
              <w:pStyle w:val="CDITable-HeaderRowLeft"/>
            </w:pPr>
            <w:proofErr w:type="spellStart"/>
            <w:r w:rsidRPr="001D5BE6">
              <w:t>Exposure</w:t>
            </w:r>
            <w:r w:rsidRPr="001E3AC7">
              <w:rPr>
                <w:vertAlign w:val="superscript"/>
              </w:rPr>
              <w:t>a</w:t>
            </w:r>
            <w:proofErr w:type="spellEnd"/>
          </w:p>
        </w:tc>
        <w:tc>
          <w:tcPr>
            <w:tcW w:w="2976" w:type="dxa"/>
            <w:gridSpan w:val="3"/>
            <w:tcBorders>
              <w:bottom w:val="single" w:sz="6" w:space="0" w:color="FFFFFF" w:themeColor="background1"/>
            </w:tcBorders>
            <w:shd w:val="clear" w:color="auto" w:fill="033636" w:themeFill="text2"/>
            <w:tcMar>
              <w:top w:w="113" w:type="dxa"/>
              <w:left w:w="113" w:type="dxa"/>
              <w:bottom w:w="113" w:type="dxa"/>
              <w:right w:w="113" w:type="dxa"/>
            </w:tcMar>
            <w:vAlign w:val="bottom"/>
          </w:tcPr>
          <w:p w14:paraId="04A79813" w14:textId="77777777" w:rsidR="001D5BE6" w:rsidRPr="001D5BE6" w:rsidRDefault="001D5BE6" w:rsidP="001E3AC7">
            <w:pPr>
              <w:pStyle w:val="CDITable-HeaderRowCentre"/>
            </w:pPr>
            <w:r w:rsidRPr="001D5BE6">
              <w:t>Exposed</w:t>
            </w:r>
          </w:p>
        </w:tc>
        <w:tc>
          <w:tcPr>
            <w:tcW w:w="2977" w:type="dxa"/>
            <w:gridSpan w:val="3"/>
            <w:tcBorders>
              <w:bottom w:val="single" w:sz="6" w:space="0" w:color="FFFFFF" w:themeColor="background1"/>
            </w:tcBorders>
            <w:shd w:val="clear" w:color="auto" w:fill="033636" w:themeFill="text2"/>
            <w:tcMar>
              <w:top w:w="113" w:type="dxa"/>
              <w:left w:w="113" w:type="dxa"/>
              <w:bottom w:w="113" w:type="dxa"/>
              <w:right w:w="113" w:type="dxa"/>
            </w:tcMar>
            <w:vAlign w:val="bottom"/>
          </w:tcPr>
          <w:p w14:paraId="2C81C6ED" w14:textId="77777777" w:rsidR="001D5BE6" w:rsidRPr="001D5BE6" w:rsidRDefault="001D5BE6" w:rsidP="001E3AC7">
            <w:pPr>
              <w:pStyle w:val="CDITable-HeaderRowCentre"/>
            </w:pPr>
            <w:r w:rsidRPr="001D5BE6">
              <w:t>Not exposed</w:t>
            </w:r>
          </w:p>
        </w:tc>
        <w:tc>
          <w:tcPr>
            <w:tcW w:w="2976" w:type="dxa"/>
            <w:gridSpan w:val="3"/>
            <w:tcBorders>
              <w:bottom w:val="single" w:sz="6" w:space="0" w:color="FFFFFF" w:themeColor="background1"/>
            </w:tcBorders>
            <w:shd w:val="clear" w:color="auto" w:fill="033636" w:themeFill="text2"/>
            <w:tcMar>
              <w:top w:w="113" w:type="dxa"/>
              <w:left w:w="113" w:type="dxa"/>
              <w:bottom w:w="113" w:type="dxa"/>
              <w:right w:w="113" w:type="dxa"/>
            </w:tcMar>
            <w:vAlign w:val="bottom"/>
          </w:tcPr>
          <w:p w14:paraId="09B94A84" w14:textId="77777777" w:rsidR="001D5BE6" w:rsidRPr="001D5BE6" w:rsidRDefault="001D5BE6" w:rsidP="001E3AC7">
            <w:pPr>
              <w:pStyle w:val="CDITable-HeaderRowCentre"/>
            </w:pPr>
            <w:r w:rsidRPr="001D5BE6">
              <w:t>Univariate analysis</w:t>
            </w:r>
          </w:p>
        </w:tc>
        <w:tc>
          <w:tcPr>
            <w:tcW w:w="2976" w:type="dxa"/>
            <w:gridSpan w:val="3"/>
            <w:tcBorders>
              <w:bottom w:val="single" w:sz="6" w:space="0" w:color="FFFFFF" w:themeColor="background1"/>
            </w:tcBorders>
            <w:shd w:val="clear" w:color="auto" w:fill="033636" w:themeFill="text2"/>
            <w:tcMar>
              <w:top w:w="113" w:type="dxa"/>
              <w:left w:w="113" w:type="dxa"/>
              <w:bottom w:w="113" w:type="dxa"/>
              <w:right w:w="113" w:type="dxa"/>
            </w:tcMar>
            <w:vAlign w:val="bottom"/>
          </w:tcPr>
          <w:p w14:paraId="246C6A52" w14:textId="77777777" w:rsidR="001D5BE6" w:rsidRPr="001D5BE6" w:rsidRDefault="001D5BE6" w:rsidP="001E3AC7">
            <w:pPr>
              <w:pStyle w:val="CDITable-HeaderRowCentre"/>
            </w:pPr>
            <w:r w:rsidRPr="001D5BE6">
              <w:t>Multivariable analysis</w:t>
            </w:r>
          </w:p>
        </w:tc>
      </w:tr>
      <w:tr w:rsidR="001E3AC7" w:rsidRPr="001D5BE6" w14:paraId="7D98CA4C" w14:textId="77777777" w:rsidTr="001E3AC7">
        <w:trPr>
          <w:divId w:val="935526654"/>
          <w:trHeight w:val="20"/>
          <w:tblHeader/>
        </w:trPr>
        <w:tc>
          <w:tcPr>
            <w:tcW w:w="2438" w:type="dxa"/>
            <w:vMerge/>
            <w:tcBorders>
              <w:right w:val="single" w:sz="6" w:space="0" w:color="FFFFFF" w:themeColor="background1"/>
            </w:tcBorders>
            <w:shd w:val="clear" w:color="auto" w:fill="033636" w:themeFill="text2"/>
          </w:tcPr>
          <w:p w14:paraId="6245436F" w14:textId="77777777" w:rsidR="001D5BE6" w:rsidRPr="001D5BE6" w:rsidRDefault="001D5BE6" w:rsidP="001D5BE6"/>
        </w:tc>
        <w:tc>
          <w:tcPr>
            <w:tcW w:w="992" w:type="dxa"/>
            <w:tcBorders>
              <w:top w:val="single" w:sz="6" w:space="0" w:color="FFFFFF" w:themeColor="background1"/>
              <w:left w:val="single" w:sz="6" w:space="0" w:color="FFFFFF" w:themeColor="background1"/>
            </w:tcBorders>
            <w:shd w:val="clear" w:color="auto" w:fill="033636" w:themeFill="text2"/>
            <w:tcMar>
              <w:top w:w="113" w:type="dxa"/>
              <w:left w:w="113" w:type="dxa"/>
              <w:bottom w:w="113" w:type="dxa"/>
              <w:right w:w="113" w:type="dxa"/>
            </w:tcMar>
            <w:vAlign w:val="bottom"/>
          </w:tcPr>
          <w:p w14:paraId="1638E1B4" w14:textId="77777777" w:rsidR="001D5BE6" w:rsidRPr="001D5BE6" w:rsidRDefault="001D5BE6" w:rsidP="001E3AC7">
            <w:pPr>
              <w:pStyle w:val="CDITable-HeaderRowCentre"/>
            </w:pPr>
            <w:r w:rsidRPr="001D5BE6">
              <w:t>Cases</w:t>
            </w:r>
          </w:p>
        </w:tc>
        <w:tc>
          <w:tcPr>
            <w:tcW w:w="992"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1F376AD8" w14:textId="77777777" w:rsidR="001D5BE6" w:rsidRPr="001D5BE6" w:rsidRDefault="001D5BE6" w:rsidP="001E3AC7">
            <w:pPr>
              <w:pStyle w:val="CDITable-HeaderRowCentre"/>
            </w:pPr>
            <w:r w:rsidRPr="001D5BE6">
              <w:t>Total</w:t>
            </w:r>
          </w:p>
        </w:tc>
        <w:tc>
          <w:tcPr>
            <w:tcW w:w="992" w:type="dxa"/>
            <w:tcBorders>
              <w:top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2C0A99A4" w14:textId="77777777" w:rsidR="001D5BE6" w:rsidRPr="001D5BE6" w:rsidRDefault="001D5BE6" w:rsidP="001E3AC7">
            <w:pPr>
              <w:pStyle w:val="CDITable-HeaderRowCentre"/>
            </w:pPr>
            <w:r w:rsidRPr="001D5BE6">
              <w:t>AR (%)</w:t>
            </w:r>
          </w:p>
        </w:tc>
        <w:tc>
          <w:tcPr>
            <w:tcW w:w="992" w:type="dxa"/>
            <w:tcBorders>
              <w:top w:val="single" w:sz="6" w:space="0" w:color="FFFFFF" w:themeColor="background1"/>
              <w:left w:val="single" w:sz="6" w:space="0" w:color="FFFFFF" w:themeColor="background1"/>
            </w:tcBorders>
            <w:shd w:val="clear" w:color="auto" w:fill="033636" w:themeFill="text2"/>
            <w:tcMar>
              <w:top w:w="113" w:type="dxa"/>
              <w:left w:w="113" w:type="dxa"/>
              <w:bottom w:w="113" w:type="dxa"/>
              <w:right w:w="113" w:type="dxa"/>
            </w:tcMar>
            <w:vAlign w:val="bottom"/>
          </w:tcPr>
          <w:p w14:paraId="2DB4F2C2" w14:textId="77777777" w:rsidR="001D5BE6" w:rsidRPr="001D5BE6" w:rsidRDefault="001D5BE6" w:rsidP="001E3AC7">
            <w:pPr>
              <w:pStyle w:val="CDITable-HeaderRowCentre"/>
            </w:pPr>
            <w:r w:rsidRPr="001D5BE6">
              <w:t>Cases</w:t>
            </w:r>
          </w:p>
        </w:tc>
        <w:tc>
          <w:tcPr>
            <w:tcW w:w="992"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11D1CF93" w14:textId="77777777" w:rsidR="001D5BE6" w:rsidRPr="001D5BE6" w:rsidRDefault="001D5BE6" w:rsidP="001E3AC7">
            <w:pPr>
              <w:pStyle w:val="CDITable-HeaderRowCentre"/>
            </w:pPr>
            <w:r w:rsidRPr="001D5BE6">
              <w:t>Total</w:t>
            </w:r>
          </w:p>
        </w:tc>
        <w:tc>
          <w:tcPr>
            <w:tcW w:w="993" w:type="dxa"/>
            <w:tcBorders>
              <w:top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3914FEBD" w14:textId="77777777" w:rsidR="001D5BE6" w:rsidRPr="001D5BE6" w:rsidRDefault="001D5BE6" w:rsidP="001E3AC7">
            <w:pPr>
              <w:pStyle w:val="CDITable-HeaderRowCentre"/>
            </w:pPr>
            <w:r w:rsidRPr="001D5BE6">
              <w:t>AR (%)</w:t>
            </w:r>
          </w:p>
        </w:tc>
        <w:tc>
          <w:tcPr>
            <w:tcW w:w="992" w:type="dxa"/>
            <w:tcBorders>
              <w:top w:val="single" w:sz="6" w:space="0" w:color="FFFFFF" w:themeColor="background1"/>
              <w:left w:val="single" w:sz="6" w:space="0" w:color="FFFFFF" w:themeColor="background1"/>
            </w:tcBorders>
            <w:shd w:val="clear" w:color="auto" w:fill="033636" w:themeFill="text2"/>
            <w:tcMar>
              <w:top w:w="113" w:type="dxa"/>
              <w:left w:w="113" w:type="dxa"/>
              <w:bottom w:w="113" w:type="dxa"/>
              <w:right w:w="113" w:type="dxa"/>
            </w:tcMar>
            <w:vAlign w:val="bottom"/>
          </w:tcPr>
          <w:p w14:paraId="757D654F" w14:textId="77777777" w:rsidR="001D5BE6" w:rsidRPr="001D5BE6" w:rsidRDefault="001D5BE6" w:rsidP="001E3AC7">
            <w:pPr>
              <w:pStyle w:val="CDITable-HeaderRowCentre"/>
            </w:pPr>
            <w:r w:rsidRPr="001D5BE6">
              <w:t>RR</w:t>
            </w:r>
          </w:p>
        </w:tc>
        <w:tc>
          <w:tcPr>
            <w:tcW w:w="992"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66A480EE" w14:textId="77777777" w:rsidR="001D5BE6" w:rsidRPr="001D5BE6" w:rsidRDefault="001D5BE6" w:rsidP="001E3AC7">
            <w:pPr>
              <w:pStyle w:val="CDITable-HeaderRowCentre"/>
            </w:pPr>
            <w:r w:rsidRPr="001D5BE6">
              <w:t>95% CI</w:t>
            </w:r>
          </w:p>
        </w:tc>
        <w:tc>
          <w:tcPr>
            <w:tcW w:w="992" w:type="dxa"/>
            <w:tcBorders>
              <w:top w:val="single" w:sz="6" w:space="0" w:color="FFFFFF" w:themeColor="background1"/>
              <w:right w:val="single" w:sz="6" w:space="0" w:color="FFFFFF" w:themeColor="background1"/>
            </w:tcBorders>
            <w:shd w:val="clear" w:color="auto" w:fill="033636" w:themeFill="text2"/>
            <w:tcMar>
              <w:top w:w="113" w:type="dxa"/>
              <w:left w:w="113" w:type="dxa"/>
              <w:bottom w:w="113" w:type="dxa"/>
              <w:right w:w="113" w:type="dxa"/>
            </w:tcMar>
            <w:vAlign w:val="bottom"/>
          </w:tcPr>
          <w:p w14:paraId="4FF326C4" w14:textId="77777777" w:rsidR="001D5BE6" w:rsidRPr="001E3AC7" w:rsidRDefault="001D5BE6" w:rsidP="001E3AC7">
            <w:pPr>
              <w:pStyle w:val="CDITable-HeaderRowCentre"/>
              <w:rPr>
                <w:bCs/>
                <w:i/>
                <w:iCs/>
              </w:rPr>
            </w:pPr>
            <w:r w:rsidRPr="001E3AC7">
              <w:rPr>
                <w:bCs/>
                <w:i/>
                <w:iCs/>
              </w:rPr>
              <w:t>p</w:t>
            </w:r>
          </w:p>
        </w:tc>
        <w:tc>
          <w:tcPr>
            <w:tcW w:w="992" w:type="dxa"/>
            <w:tcBorders>
              <w:top w:val="single" w:sz="6" w:space="0" w:color="FFFFFF" w:themeColor="background1"/>
              <w:left w:val="single" w:sz="6" w:space="0" w:color="FFFFFF" w:themeColor="background1"/>
            </w:tcBorders>
            <w:shd w:val="clear" w:color="auto" w:fill="033636" w:themeFill="text2"/>
            <w:tcMar>
              <w:top w:w="113" w:type="dxa"/>
              <w:left w:w="113" w:type="dxa"/>
              <w:bottom w:w="113" w:type="dxa"/>
              <w:right w:w="113" w:type="dxa"/>
            </w:tcMar>
            <w:vAlign w:val="bottom"/>
          </w:tcPr>
          <w:p w14:paraId="3E231428" w14:textId="77777777" w:rsidR="001D5BE6" w:rsidRPr="001D5BE6" w:rsidRDefault="001D5BE6" w:rsidP="001E3AC7">
            <w:pPr>
              <w:pStyle w:val="CDITable-HeaderRowCentre"/>
            </w:pPr>
            <w:proofErr w:type="spellStart"/>
            <w:r w:rsidRPr="001D5BE6">
              <w:t>aRR</w:t>
            </w:r>
            <w:proofErr w:type="spellEnd"/>
          </w:p>
        </w:tc>
        <w:tc>
          <w:tcPr>
            <w:tcW w:w="992"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62C90C09" w14:textId="77777777" w:rsidR="001D5BE6" w:rsidRPr="001D5BE6" w:rsidRDefault="001D5BE6" w:rsidP="001E3AC7">
            <w:pPr>
              <w:pStyle w:val="CDITable-HeaderRowCentre"/>
            </w:pPr>
            <w:r w:rsidRPr="001D5BE6">
              <w:t>95% CI</w:t>
            </w:r>
          </w:p>
        </w:tc>
        <w:tc>
          <w:tcPr>
            <w:tcW w:w="992" w:type="dxa"/>
            <w:tcBorders>
              <w:top w:val="single" w:sz="6" w:space="0" w:color="FFFFFF" w:themeColor="background1"/>
            </w:tcBorders>
            <w:shd w:val="clear" w:color="auto" w:fill="033636" w:themeFill="text2"/>
            <w:tcMar>
              <w:top w:w="113" w:type="dxa"/>
              <w:left w:w="113" w:type="dxa"/>
              <w:bottom w:w="113" w:type="dxa"/>
              <w:right w:w="113" w:type="dxa"/>
            </w:tcMar>
            <w:vAlign w:val="bottom"/>
          </w:tcPr>
          <w:p w14:paraId="55DF9660" w14:textId="77777777" w:rsidR="001D5BE6" w:rsidRPr="001E3AC7" w:rsidRDefault="001D5BE6" w:rsidP="001E3AC7">
            <w:pPr>
              <w:pStyle w:val="CDITable-HeaderRowCentre"/>
              <w:rPr>
                <w:bCs/>
                <w:i/>
                <w:iCs/>
              </w:rPr>
            </w:pPr>
            <w:r w:rsidRPr="001E3AC7">
              <w:rPr>
                <w:bCs/>
                <w:i/>
                <w:iCs/>
              </w:rPr>
              <w:t>p</w:t>
            </w:r>
          </w:p>
        </w:tc>
      </w:tr>
      <w:tr w:rsidR="001D5BE6" w:rsidRPr="001D5BE6" w14:paraId="2F574AF7" w14:textId="77777777" w:rsidTr="001E3AC7">
        <w:trPr>
          <w:divId w:val="935526654"/>
          <w:trHeight w:val="20"/>
        </w:trPr>
        <w:tc>
          <w:tcPr>
            <w:tcW w:w="14343" w:type="dxa"/>
            <w:gridSpan w:val="13"/>
            <w:shd w:val="clear" w:color="auto" w:fill="C5FFEF" w:themeFill="background2" w:themeFillTint="33"/>
            <w:tcMar>
              <w:top w:w="100" w:type="dxa"/>
              <w:left w:w="113" w:type="dxa"/>
              <w:bottom w:w="100" w:type="dxa"/>
              <w:right w:w="113" w:type="dxa"/>
            </w:tcMar>
            <w:vAlign w:val="center"/>
          </w:tcPr>
          <w:p w14:paraId="6995B540" w14:textId="77777777" w:rsidR="001D5BE6" w:rsidRPr="000D1897" w:rsidRDefault="001D5BE6" w:rsidP="001E3AC7">
            <w:pPr>
              <w:pStyle w:val="CDITable-RowLeft"/>
              <w:rPr>
                <w:b/>
                <w:bCs/>
              </w:rPr>
            </w:pPr>
            <w:r w:rsidRPr="000D1897">
              <w:rPr>
                <w:b/>
                <w:bCs/>
              </w:rPr>
              <w:t>Sushi</w:t>
            </w:r>
          </w:p>
        </w:tc>
      </w:tr>
      <w:tr w:rsidR="001D5BE6" w:rsidRPr="001D5BE6" w14:paraId="587B6F89" w14:textId="77777777" w:rsidTr="001E3AC7">
        <w:trPr>
          <w:divId w:val="935526654"/>
          <w:trHeight w:val="20"/>
        </w:trPr>
        <w:tc>
          <w:tcPr>
            <w:tcW w:w="2438" w:type="dxa"/>
            <w:tcMar>
              <w:top w:w="100" w:type="dxa"/>
              <w:left w:w="113" w:type="dxa"/>
              <w:bottom w:w="100" w:type="dxa"/>
              <w:right w:w="113" w:type="dxa"/>
            </w:tcMar>
            <w:vAlign w:val="center"/>
          </w:tcPr>
          <w:p w14:paraId="42E3C317" w14:textId="77777777" w:rsidR="001D5BE6" w:rsidRPr="001D5BE6" w:rsidRDefault="001D5BE6" w:rsidP="001E3AC7">
            <w:pPr>
              <w:pStyle w:val="CDITable-RowLeft"/>
            </w:pPr>
            <w:r w:rsidRPr="001D5BE6">
              <w:t xml:space="preserve">Teriyaki chicken </w:t>
            </w:r>
          </w:p>
        </w:tc>
        <w:tc>
          <w:tcPr>
            <w:tcW w:w="992" w:type="dxa"/>
            <w:tcMar>
              <w:top w:w="100" w:type="dxa"/>
              <w:left w:w="113" w:type="dxa"/>
              <w:bottom w:w="100" w:type="dxa"/>
              <w:right w:w="113" w:type="dxa"/>
            </w:tcMar>
            <w:vAlign w:val="center"/>
          </w:tcPr>
          <w:p w14:paraId="36C02FA2" w14:textId="77777777" w:rsidR="001D5BE6" w:rsidRPr="001D5BE6" w:rsidRDefault="001D5BE6" w:rsidP="001E3AC7">
            <w:pPr>
              <w:pStyle w:val="CDITable-RowCentre"/>
            </w:pPr>
            <w:r w:rsidRPr="001D5BE6">
              <w:t>7</w:t>
            </w:r>
          </w:p>
        </w:tc>
        <w:tc>
          <w:tcPr>
            <w:tcW w:w="992" w:type="dxa"/>
            <w:tcMar>
              <w:top w:w="100" w:type="dxa"/>
              <w:left w:w="113" w:type="dxa"/>
              <w:bottom w:w="100" w:type="dxa"/>
              <w:right w:w="113" w:type="dxa"/>
            </w:tcMar>
            <w:vAlign w:val="center"/>
          </w:tcPr>
          <w:p w14:paraId="05F0315F" w14:textId="77777777" w:rsidR="001D5BE6" w:rsidRPr="001D5BE6" w:rsidRDefault="001D5BE6" w:rsidP="001E3AC7">
            <w:pPr>
              <w:pStyle w:val="CDITable-RowCentre"/>
            </w:pPr>
            <w:r w:rsidRPr="001D5BE6">
              <w:t>9</w:t>
            </w:r>
          </w:p>
        </w:tc>
        <w:tc>
          <w:tcPr>
            <w:tcW w:w="992" w:type="dxa"/>
            <w:tcMar>
              <w:top w:w="100" w:type="dxa"/>
              <w:left w:w="113" w:type="dxa"/>
              <w:bottom w:w="100" w:type="dxa"/>
              <w:right w:w="113" w:type="dxa"/>
            </w:tcMar>
            <w:vAlign w:val="center"/>
          </w:tcPr>
          <w:p w14:paraId="6AA2C2FB" w14:textId="77777777" w:rsidR="001D5BE6" w:rsidRPr="001D5BE6" w:rsidRDefault="001D5BE6" w:rsidP="001E3AC7">
            <w:pPr>
              <w:pStyle w:val="CDITable-RowCentre"/>
            </w:pPr>
            <w:r w:rsidRPr="001D5BE6">
              <w:t>77.8</w:t>
            </w:r>
          </w:p>
        </w:tc>
        <w:tc>
          <w:tcPr>
            <w:tcW w:w="992" w:type="dxa"/>
            <w:tcMar>
              <w:top w:w="100" w:type="dxa"/>
              <w:left w:w="113" w:type="dxa"/>
              <w:bottom w:w="100" w:type="dxa"/>
              <w:right w:w="113" w:type="dxa"/>
            </w:tcMar>
            <w:vAlign w:val="center"/>
          </w:tcPr>
          <w:p w14:paraId="011EFD3D" w14:textId="77777777" w:rsidR="001D5BE6" w:rsidRPr="001D5BE6" w:rsidRDefault="001D5BE6" w:rsidP="001E3AC7">
            <w:pPr>
              <w:pStyle w:val="CDITable-RowCentre"/>
            </w:pPr>
            <w:r w:rsidRPr="001D5BE6">
              <w:t>26</w:t>
            </w:r>
          </w:p>
        </w:tc>
        <w:tc>
          <w:tcPr>
            <w:tcW w:w="992" w:type="dxa"/>
            <w:tcMar>
              <w:top w:w="100" w:type="dxa"/>
              <w:left w:w="113" w:type="dxa"/>
              <w:bottom w:w="100" w:type="dxa"/>
              <w:right w:w="113" w:type="dxa"/>
            </w:tcMar>
            <w:vAlign w:val="center"/>
          </w:tcPr>
          <w:p w14:paraId="1CE5CFC6" w14:textId="77777777" w:rsidR="001D5BE6" w:rsidRPr="001D5BE6" w:rsidRDefault="001D5BE6" w:rsidP="001E3AC7">
            <w:pPr>
              <w:pStyle w:val="CDITable-RowCentre"/>
            </w:pPr>
            <w:r w:rsidRPr="001D5BE6">
              <w:t>58</w:t>
            </w:r>
          </w:p>
        </w:tc>
        <w:tc>
          <w:tcPr>
            <w:tcW w:w="993" w:type="dxa"/>
            <w:tcMar>
              <w:top w:w="100" w:type="dxa"/>
              <w:left w:w="113" w:type="dxa"/>
              <w:bottom w:w="100" w:type="dxa"/>
              <w:right w:w="113" w:type="dxa"/>
            </w:tcMar>
            <w:vAlign w:val="center"/>
          </w:tcPr>
          <w:p w14:paraId="3760A4C4" w14:textId="77777777" w:rsidR="001D5BE6" w:rsidRPr="001D5BE6" w:rsidRDefault="001D5BE6" w:rsidP="001E3AC7">
            <w:pPr>
              <w:pStyle w:val="CDITable-RowCentre"/>
            </w:pPr>
            <w:r w:rsidRPr="001D5BE6">
              <w:t>44.8</w:t>
            </w:r>
          </w:p>
        </w:tc>
        <w:tc>
          <w:tcPr>
            <w:tcW w:w="992" w:type="dxa"/>
            <w:tcMar>
              <w:top w:w="100" w:type="dxa"/>
              <w:left w:w="113" w:type="dxa"/>
              <w:bottom w:w="100" w:type="dxa"/>
              <w:right w:w="113" w:type="dxa"/>
            </w:tcMar>
            <w:vAlign w:val="center"/>
          </w:tcPr>
          <w:p w14:paraId="119DBD46" w14:textId="77777777" w:rsidR="001D5BE6" w:rsidRPr="001D5BE6" w:rsidRDefault="001D5BE6" w:rsidP="001E3AC7">
            <w:pPr>
              <w:pStyle w:val="CDITable-RowCentre"/>
            </w:pPr>
            <w:r w:rsidRPr="001D5BE6">
              <w:t xml:space="preserve">1.7 </w:t>
            </w:r>
          </w:p>
        </w:tc>
        <w:tc>
          <w:tcPr>
            <w:tcW w:w="992" w:type="dxa"/>
            <w:tcMar>
              <w:top w:w="100" w:type="dxa"/>
              <w:left w:w="113" w:type="dxa"/>
              <w:bottom w:w="100" w:type="dxa"/>
              <w:right w:w="113" w:type="dxa"/>
            </w:tcMar>
            <w:vAlign w:val="center"/>
          </w:tcPr>
          <w:p w14:paraId="6B72DBED" w14:textId="77777777" w:rsidR="001D5BE6" w:rsidRPr="001D5BE6" w:rsidRDefault="001D5BE6" w:rsidP="001E3AC7">
            <w:pPr>
              <w:pStyle w:val="CDITable-RowCentre"/>
            </w:pPr>
            <w:r w:rsidRPr="001D5BE6">
              <w:t>0.99–2.7</w:t>
            </w:r>
          </w:p>
        </w:tc>
        <w:tc>
          <w:tcPr>
            <w:tcW w:w="992" w:type="dxa"/>
            <w:tcMar>
              <w:top w:w="100" w:type="dxa"/>
              <w:left w:w="113" w:type="dxa"/>
              <w:bottom w:w="100" w:type="dxa"/>
              <w:right w:w="113" w:type="dxa"/>
            </w:tcMar>
            <w:vAlign w:val="center"/>
          </w:tcPr>
          <w:p w14:paraId="306C0776" w14:textId="77777777" w:rsidR="001D5BE6" w:rsidRPr="001D5BE6" w:rsidRDefault="001D5BE6" w:rsidP="001E3AC7">
            <w:pPr>
              <w:pStyle w:val="CDITable-RowCentre"/>
            </w:pPr>
            <w:r w:rsidRPr="001D5BE6">
              <w:t>0.08</w:t>
            </w:r>
          </w:p>
        </w:tc>
        <w:tc>
          <w:tcPr>
            <w:tcW w:w="992" w:type="dxa"/>
            <w:tcMar>
              <w:top w:w="100" w:type="dxa"/>
              <w:left w:w="113" w:type="dxa"/>
              <w:bottom w:w="100" w:type="dxa"/>
              <w:right w:w="113" w:type="dxa"/>
            </w:tcMar>
            <w:vAlign w:val="center"/>
          </w:tcPr>
          <w:p w14:paraId="3B671727" w14:textId="77777777" w:rsidR="001D5BE6" w:rsidRPr="001D5BE6" w:rsidRDefault="001D5BE6" w:rsidP="001E3AC7">
            <w:pPr>
              <w:pStyle w:val="CDITable-RowCentre"/>
            </w:pPr>
            <w:r w:rsidRPr="001D5BE6">
              <w:t xml:space="preserve">0.9 </w:t>
            </w:r>
          </w:p>
        </w:tc>
        <w:tc>
          <w:tcPr>
            <w:tcW w:w="992" w:type="dxa"/>
            <w:tcMar>
              <w:top w:w="100" w:type="dxa"/>
              <w:left w:w="113" w:type="dxa"/>
              <w:bottom w:w="100" w:type="dxa"/>
              <w:right w:w="113" w:type="dxa"/>
            </w:tcMar>
            <w:vAlign w:val="center"/>
          </w:tcPr>
          <w:p w14:paraId="7CF01279" w14:textId="77777777" w:rsidR="001D5BE6" w:rsidRPr="001D5BE6" w:rsidRDefault="001D5BE6" w:rsidP="001E3AC7">
            <w:pPr>
              <w:pStyle w:val="CDITable-RowCentre"/>
            </w:pPr>
            <w:r w:rsidRPr="001D5BE6">
              <w:t>0.4–1.8</w:t>
            </w:r>
          </w:p>
        </w:tc>
        <w:tc>
          <w:tcPr>
            <w:tcW w:w="992" w:type="dxa"/>
            <w:tcMar>
              <w:top w:w="100" w:type="dxa"/>
              <w:left w:w="113" w:type="dxa"/>
              <w:bottom w:w="100" w:type="dxa"/>
              <w:right w:w="113" w:type="dxa"/>
            </w:tcMar>
            <w:vAlign w:val="center"/>
          </w:tcPr>
          <w:p w14:paraId="2101ADF6" w14:textId="77777777" w:rsidR="001D5BE6" w:rsidRPr="001D5BE6" w:rsidRDefault="001D5BE6" w:rsidP="001E3AC7">
            <w:pPr>
              <w:pStyle w:val="CDITable-RowCentre"/>
            </w:pPr>
            <w:r w:rsidRPr="001D5BE6">
              <w:t>0.71</w:t>
            </w:r>
          </w:p>
        </w:tc>
      </w:tr>
      <w:tr w:rsidR="001D5BE6" w:rsidRPr="001D5BE6" w14:paraId="0AB95060" w14:textId="77777777" w:rsidTr="001E3AC7">
        <w:trPr>
          <w:divId w:val="935526654"/>
          <w:trHeight w:val="20"/>
        </w:trPr>
        <w:tc>
          <w:tcPr>
            <w:tcW w:w="2438" w:type="dxa"/>
            <w:tcMar>
              <w:top w:w="100" w:type="dxa"/>
              <w:left w:w="113" w:type="dxa"/>
              <w:bottom w:w="100" w:type="dxa"/>
              <w:right w:w="113" w:type="dxa"/>
            </w:tcMar>
            <w:vAlign w:val="center"/>
          </w:tcPr>
          <w:p w14:paraId="1272CB51" w14:textId="77777777" w:rsidR="001D5BE6" w:rsidRPr="001D5BE6" w:rsidRDefault="001D5BE6" w:rsidP="001E3AC7">
            <w:pPr>
              <w:pStyle w:val="CDITable-RowLeft"/>
            </w:pPr>
            <w:r w:rsidRPr="001D5BE6">
              <w:t>Tuna</w:t>
            </w:r>
          </w:p>
        </w:tc>
        <w:tc>
          <w:tcPr>
            <w:tcW w:w="992" w:type="dxa"/>
            <w:tcMar>
              <w:top w:w="100" w:type="dxa"/>
              <w:left w:w="113" w:type="dxa"/>
              <w:bottom w:w="100" w:type="dxa"/>
              <w:right w:w="113" w:type="dxa"/>
            </w:tcMar>
            <w:vAlign w:val="center"/>
          </w:tcPr>
          <w:p w14:paraId="58EE8F28" w14:textId="77777777" w:rsidR="001D5BE6" w:rsidRPr="001D5BE6" w:rsidRDefault="001D5BE6" w:rsidP="001E3AC7">
            <w:pPr>
              <w:pStyle w:val="CDITable-RowCentre"/>
            </w:pPr>
            <w:r w:rsidRPr="001D5BE6">
              <w:t>6</w:t>
            </w:r>
          </w:p>
        </w:tc>
        <w:tc>
          <w:tcPr>
            <w:tcW w:w="992" w:type="dxa"/>
            <w:tcMar>
              <w:top w:w="100" w:type="dxa"/>
              <w:left w:w="113" w:type="dxa"/>
              <w:bottom w:w="100" w:type="dxa"/>
              <w:right w:w="113" w:type="dxa"/>
            </w:tcMar>
            <w:vAlign w:val="center"/>
          </w:tcPr>
          <w:p w14:paraId="52F6DC3A" w14:textId="77777777" w:rsidR="001D5BE6" w:rsidRPr="001D5BE6" w:rsidRDefault="001D5BE6" w:rsidP="001E3AC7">
            <w:pPr>
              <w:pStyle w:val="CDITable-RowCentre"/>
            </w:pPr>
            <w:r w:rsidRPr="001D5BE6">
              <w:t>7</w:t>
            </w:r>
          </w:p>
        </w:tc>
        <w:tc>
          <w:tcPr>
            <w:tcW w:w="992" w:type="dxa"/>
            <w:tcMar>
              <w:top w:w="100" w:type="dxa"/>
              <w:left w:w="113" w:type="dxa"/>
              <w:bottom w:w="100" w:type="dxa"/>
              <w:right w:w="113" w:type="dxa"/>
            </w:tcMar>
            <w:vAlign w:val="center"/>
          </w:tcPr>
          <w:p w14:paraId="636B9015" w14:textId="77777777" w:rsidR="001D5BE6" w:rsidRPr="001D5BE6" w:rsidRDefault="001D5BE6" w:rsidP="001E3AC7">
            <w:pPr>
              <w:pStyle w:val="CDITable-RowCentre"/>
            </w:pPr>
            <w:r w:rsidRPr="001D5BE6">
              <w:t>85.7</w:t>
            </w:r>
          </w:p>
        </w:tc>
        <w:tc>
          <w:tcPr>
            <w:tcW w:w="992" w:type="dxa"/>
            <w:tcMar>
              <w:top w:w="100" w:type="dxa"/>
              <w:left w:w="113" w:type="dxa"/>
              <w:bottom w:w="100" w:type="dxa"/>
              <w:right w:w="113" w:type="dxa"/>
            </w:tcMar>
            <w:vAlign w:val="center"/>
          </w:tcPr>
          <w:p w14:paraId="30836EDD" w14:textId="77777777" w:rsidR="001D5BE6" w:rsidRPr="001D5BE6" w:rsidRDefault="001D5BE6" w:rsidP="001E3AC7">
            <w:pPr>
              <w:pStyle w:val="CDITable-RowCentre"/>
            </w:pPr>
            <w:r w:rsidRPr="001D5BE6">
              <w:t>27</w:t>
            </w:r>
          </w:p>
        </w:tc>
        <w:tc>
          <w:tcPr>
            <w:tcW w:w="992" w:type="dxa"/>
            <w:tcMar>
              <w:top w:w="100" w:type="dxa"/>
              <w:left w:w="113" w:type="dxa"/>
              <w:bottom w:w="100" w:type="dxa"/>
              <w:right w:w="113" w:type="dxa"/>
            </w:tcMar>
            <w:vAlign w:val="center"/>
          </w:tcPr>
          <w:p w14:paraId="3D40EA14" w14:textId="77777777" w:rsidR="001D5BE6" w:rsidRPr="001D5BE6" w:rsidRDefault="001D5BE6" w:rsidP="001E3AC7">
            <w:pPr>
              <w:pStyle w:val="CDITable-RowCentre"/>
            </w:pPr>
            <w:r w:rsidRPr="001D5BE6">
              <w:t>60</w:t>
            </w:r>
          </w:p>
        </w:tc>
        <w:tc>
          <w:tcPr>
            <w:tcW w:w="993" w:type="dxa"/>
            <w:tcMar>
              <w:top w:w="100" w:type="dxa"/>
              <w:left w:w="113" w:type="dxa"/>
              <w:bottom w:w="100" w:type="dxa"/>
              <w:right w:w="113" w:type="dxa"/>
            </w:tcMar>
            <w:vAlign w:val="center"/>
          </w:tcPr>
          <w:p w14:paraId="7E60DA47" w14:textId="77777777" w:rsidR="001D5BE6" w:rsidRPr="001D5BE6" w:rsidRDefault="001D5BE6" w:rsidP="001E3AC7">
            <w:pPr>
              <w:pStyle w:val="CDITable-RowCentre"/>
            </w:pPr>
            <w:r w:rsidRPr="001D5BE6">
              <w:t>45.0</w:t>
            </w:r>
          </w:p>
        </w:tc>
        <w:tc>
          <w:tcPr>
            <w:tcW w:w="992" w:type="dxa"/>
            <w:tcMar>
              <w:top w:w="100" w:type="dxa"/>
              <w:left w:w="113" w:type="dxa"/>
              <w:bottom w:w="100" w:type="dxa"/>
              <w:right w:w="113" w:type="dxa"/>
            </w:tcMar>
            <w:vAlign w:val="center"/>
          </w:tcPr>
          <w:p w14:paraId="64A2CDE7" w14:textId="77777777" w:rsidR="001D5BE6" w:rsidRPr="001D5BE6" w:rsidRDefault="001D5BE6" w:rsidP="001E3AC7">
            <w:pPr>
              <w:pStyle w:val="CDITable-RowCentre"/>
            </w:pPr>
            <w:r w:rsidRPr="001D5BE6">
              <w:t xml:space="preserve">1.9 </w:t>
            </w:r>
          </w:p>
        </w:tc>
        <w:tc>
          <w:tcPr>
            <w:tcW w:w="992" w:type="dxa"/>
            <w:tcMar>
              <w:top w:w="100" w:type="dxa"/>
              <w:left w:w="113" w:type="dxa"/>
              <w:bottom w:w="100" w:type="dxa"/>
              <w:right w:w="113" w:type="dxa"/>
            </w:tcMar>
            <w:vAlign w:val="center"/>
          </w:tcPr>
          <w:p w14:paraId="54C1F75A" w14:textId="77777777" w:rsidR="001D5BE6" w:rsidRPr="001D5BE6" w:rsidRDefault="001D5BE6" w:rsidP="001E3AC7">
            <w:pPr>
              <w:pStyle w:val="CDITable-RowCentre"/>
            </w:pPr>
            <w:r w:rsidRPr="001D5BE6">
              <w:t>1.1–2.9</w:t>
            </w:r>
          </w:p>
        </w:tc>
        <w:tc>
          <w:tcPr>
            <w:tcW w:w="992" w:type="dxa"/>
            <w:tcMar>
              <w:top w:w="100" w:type="dxa"/>
              <w:left w:w="113" w:type="dxa"/>
              <w:bottom w:w="100" w:type="dxa"/>
              <w:right w:w="113" w:type="dxa"/>
            </w:tcMar>
            <w:vAlign w:val="center"/>
          </w:tcPr>
          <w:p w14:paraId="303B08C5" w14:textId="77777777" w:rsidR="001D5BE6" w:rsidRPr="001D5BE6" w:rsidRDefault="001D5BE6" w:rsidP="001E3AC7">
            <w:pPr>
              <w:pStyle w:val="CDITable-RowCentre"/>
            </w:pPr>
            <w:r w:rsidRPr="001D5BE6">
              <w:t>0.05</w:t>
            </w:r>
          </w:p>
        </w:tc>
        <w:tc>
          <w:tcPr>
            <w:tcW w:w="992" w:type="dxa"/>
            <w:tcMar>
              <w:top w:w="100" w:type="dxa"/>
              <w:left w:w="113" w:type="dxa"/>
              <w:bottom w:w="100" w:type="dxa"/>
              <w:right w:w="113" w:type="dxa"/>
            </w:tcMar>
            <w:vAlign w:val="center"/>
          </w:tcPr>
          <w:p w14:paraId="63CC3592" w14:textId="77777777" w:rsidR="001D5BE6" w:rsidRPr="001D5BE6" w:rsidRDefault="001D5BE6" w:rsidP="001E3AC7">
            <w:pPr>
              <w:pStyle w:val="CDITable-RowCentre"/>
            </w:pPr>
            <w:r w:rsidRPr="001D5BE6">
              <w:t xml:space="preserve">1.5 </w:t>
            </w:r>
          </w:p>
        </w:tc>
        <w:tc>
          <w:tcPr>
            <w:tcW w:w="992" w:type="dxa"/>
            <w:tcMar>
              <w:top w:w="100" w:type="dxa"/>
              <w:left w:w="113" w:type="dxa"/>
              <w:bottom w:w="100" w:type="dxa"/>
              <w:right w:w="113" w:type="dxa"/>
            </w:tcMar>
            <w:vAlign w:val="center"/>
          </w:tcPr>
          <w:p w14:paraId="2C30113C" w14:textId="77777777" w:rsidR="001D5BE6" w:rsidRPr="001D5BE6" w:rsidRDefault="001D5BE6" w:rsidP="001E3AC7">
            <w:pPr>
              <w:pStyle w:val="CDITable-RowCentre"/>
            </w:pPr>
            <w:r w:rsidRPr="001D5BE6">
              <w:t>0.9–2.6</w:t>
            </w:r>
          </w:p>
        </w:tc>
        <w:tc>
          <w:tcPr>
            <w:tcW w:w="992" w:type="dxa"/>
            <w:tcMar>
              <w:top w:w="100" w:type="dxa"/>
              <w:left w:w="113" w:type="dxa"/>
              <w:bottom w:w="100" w:type="dxa"/>
              <w:right w:w="113" w:type="dxa"/>
            </w:tcMar>
            <w:vAlign w:val="center"/>
          </w:tcPr>
          <w:p w14:paraId="4B11F38D" w14:textId="77777777" w:rsidR="001D5BE6" w:rsidRPr="001D5BE6" w:rsidRDefault="001D5BE6" w:rsidP="001E3AC7">
            <w:pPr>
              <w:pStyle w:val="CDITable-RowCentre"/>
            </w:pPr>
            <w:r w:rsidRPr="001D5BE6">
              <w:t>0.11</w:t>
            </w:r>
          </w:p>
        </w:tc>
      </w:tr>
      <w:tr w:rsidR="001D5BE6" w:rsidRPr="001D5BE6" w14:paraId="4342CD66" w14:textId="77777777" w:rsidTr="001E3AC7">
        <w:trPr>
          <w:divId w:val="935526654"/>
          <w:trHeight w:val="20"/>
        </w:trPr>
        <w:tc>
          <w:tcPr>
            <w:tcW w:w="2438" w:type="dxa"/>
            <w:tcMar>
              <w:top w:w="100" w:type="dxa"/>
              <w:left w:w="113" w:type="dxa"/>
              <w:bottom w:w="100" w:type="dxa"/>
              <w:right w:w="113" w:type="dxa"/>
            </w:tcMar>
            <w:vAlign w:val="center"/>
          </w:tcPr>
          <w:p w14:paraId="024D38CA" w14:textId="77777777" w:rsidR="001D5BE6" w:rsidRPr="001D5BE6" w:rsidRDefault="001D5BE6" w:rsidP="001E3AC7">
            <w:pPr>
              <w:pStyle w:val="CDITable-RowLeft"/>
            </w:pPr>
            <w:r w:rsidRPr="001D5BE6">
              <w:t xml:space="preserve">Chicken schnitzel </w:t>
            </w:r>
          </w:p>
        </w:tc>
        <w:tc>
          <w:tcPr>
            <w:tcW w:w="992" w:type="dxa"/>
            <w:tcMar>
              <w:top w:w="100" w:type="dxa"/>
              <w:left w:w="113" w:type="dxa"/>
              <w:bottom w:w="100" w:type="dxa"/>
              <w:right w:w="113" w:type="dxa"/>
            </w:tcMar>
            <w:vAlign w:val="center"/>
          </w:tcPr>
          <w:p w14:paraId="67883C8D" w14:textId="77777777" w:rsidR="001D5BE6" w:rsidRPr="001D5BE6" w:rsidRDefault="001D5BE6" w:rsidP="001E3AC7">
            <w:pPr>
              <w:pStyle w:val="CDITable-RowCentre"/>
            </w:pPr>
            <w:r w:rsidRPr="001D5BE6">
              <w:t>7</w:t>
            </w:r>
          </w:p>
        </w:tc>
        <w:tc>
          <w:tcPr>
            <w:tcW w:w="992" w:type="dxa"/>
            <w:tcMar>
              <w:top w:w="100" w:type="dxa"/>
              <w:left w:w="113" w:type="dxa"/>
              <w:bottom w:w="100" w:type="dxa"/>
              <w:right w:w="113" w:type="dxa"/>
            </w:tcMar>
            <w:vAlign w:val="center"/>
          </w:tcPr>
          <w:p w14:paraId="7087DCA4" w14:textId="77777777" w:rsidR="001D5BE6" w:rsidRPr="001D5BE6" w:rsidRDefault="001D5BE6" w:rsidP="001E3AC7">
            <w:pPr>
              <w:pStyle w:val="CDITable-RowCentre"/>
            </w:pPr>
            <w:r w:rsidRPr="001D5BE6">
              <w:t>10</w:t>
            </w:r>
          </w:p>
        </w:tc>
        <w:tc>
          <w:tcPr>
            <w:tcW w:w="992" w:type="dxa"/>
            <w:tcMar>
              <w:top w:w="100" w:type="dxa"/>
              <w:left w:w="113" w:type="dxa"/>
              <w:bottom w:w="100" w:type="dxa"/>
              <w:right w:w="113" w:type="dxa"/>
            </w:tcMar>
            <w:vAlign w:val="center"/>
          </w:tcPr>
          <w:p w14:paraId="2728743E" w14:textId="77777777" w:rsidR="001D5BE6" w:rsidRPr="001D5BE6" w:rsidRDefault="001D5BE6" w:rsidP="001E3AC7">
            <w:pPr>
              <w:pStyle w:val="CDITable-RowCentre"/>
            </w:pPr>
            <w:r w:rsidRPr="001D5BE6">
              <w:t>70.0</w:t>
            </w:r>
          </w:p>
        </w:tc>
        <w:tc>
          <w:tcPr>
            <w:tcW w:w="992" w:type="dxa"/>
            <w:tcMar>
              <w:top w:w="100" w:type="dxa"/>
              <w:left w:w="113" w:type="dxa"/>
              <w:bottom w:w="100" w:type="dxa"/>
              <w:right w:w="113" w:type="dxa"/>
            </w:tcMar>
            <w:vAlign w:val="center"/>
          </w:tcPr>
          <w:p w14:paraId="56004151" w14:textId="77777777" w:rsidR="001D5BE6" w:rsidRPr="001D5BE6" w:rsidRDefault="001D5BE6" w:rsidP="001E3AC7">
            <w:pPr>
              <w:pStyle w:val="CDITable-RowCentre"/>
            </w:pPr>
            <w:r w:rsidRPr="001D5BE6">
              <w:t>26</w:t>
            </w:r>
          </w:p>
        </w:tc>
        <w:tc>
          <w:tcPr>
            <w:tcW w:w="992" w:type="dxa"/>
            <w:tcMar>
              <w:top w:w="100" w:type="dxa"/>
              <w:left w:w="113" w:type="dxa"/>
              <w:bottom w:w="100" w:type="dxa"/>
              <w:right w:w="113" w:type="dxa"/>
            </w:tcMar>
            <w:vAlign w:val="center"/>
          </w:tcPr>
          <w:p w14:paraId="62D6B59D" w14:textId="77777777" w:rsidR="001D5BE6" w:rsidRPr="001D5BE6" w:rsidRDefault="001D5BE6" w:rsidP="001E3AC7">
            <w:pPr>
              <w:pStyle w:val="CDITable-RowCentre"/>
            </w:pPr>
            <w:r w:rsidRPr="001D5BE6">
              <w:t>57</w:t>
            </w:r>
          </w:p>
        </w:tc>
        <w:tc>
          <w:tcPr>
            <w:tcW w:w="993" w:type="dxa"/>
            <w:tcMar>
              <w:top w:w="100" w:type="dxa"/>
              <w:left w:w="113" w:type="dxa"/>
              <w:bottom w:w="100" w:type="dxa"/>
              <w:right w:w="113" w:type="dxa"/>
            </w:tcMar>
            <w:vAlign w:val="center"/>
          </w:tcPr>
          <w:p w14:paraId="6202252B" w14:textId="77777777" w:rsidR="001D5BE6" w:rsidRPr="001D5BE6" w:rsidRDefault="001D5BE6" w:rsidP="001E3AC7">
            <w:pPr>
              <w:pStyle w:val="CDITable-RowCentre"/>
            </w:pPr>
            <w:r w:rsidRPr="001D5BE6">
              <w:t>45.6</w:t>
            </w:r>
          </w:p>
        </w:tc>
        <w:tc>
          <w:tcPr>
            <w:tcW w:w="992" w:type="dxa"/>
            <w:tcMar>
              <w:top w:w="100" w:type="dxa"/>
              <w:left w:w="113" w:type="dxa"/>
              <w:bottom w:w="100" w:type="dxa"/>
              <w:right w:w="113" w:type="dxa"/>
            </w:tcMar>
            <w:vAlign w:val="center"/>
          </w:tcPr>
          <w:p w14:paraId="0758DA5C" w14:textId="77777777" w:rsidR="001D5BE6" w:rsidRPr="001D5BE6" w:rsidRDefault="001D5BE6" w:rsidP="001E3AC7">
            <w:pPr>
              <w:pStyle w:val="CDITable-RowCentre"/>
            </w:pPr>
            <w:r w:rsidRPr="001D5BE6">
              <w:t xml:space="preserve">1.5 </w:t>
            </w:r>
          </w:p>
        </w:tc>
        <w:tc>
          <w:tcPr>
            <w:tcW w:w="992" w:type="dxa"/>
            <w:tcMar>
              <w:top w:w="100" w:type="dxa"/>
              <w:left w:w="113" w:type="dxa"/>
              <w:bottom w:w="100" w:type="dxa"/>
              <w:right w:w="113" w:type="dxa"/>
            </w:tcMar>
            <w:vAlign w:val="center"/>
          </w:tcPr>
          <w:p w14:paraId="76BDB8EF" w14:textId="77777777" w:rsidR="001D5BE6" w:rsidRPr="001D5BE6" w:rsidRDefault="001D5BE6" w:rsidP="001E3AC7">
            <w:pPr>
              <w:pStyle w:val="CDITable-RowCentre"/>
            </w:pPr>
            <w:r w:rsidRPr="001D5BE6">
              <w:t>0.9–2.5</w:t>
            </w:r>
          </w:p>
        </w:tc>
        <w:tc>
          <w:tcPr>
            <w:tcW w:w="992" w:type="dxa"/>
            <w:tcMar>
              <w:top w:w="100" w:type="dxa"/>
              <w:left w:w="113" w:type="dxa"/>
              <w:bottom w:w="100" w:type="dxa"/>
              <w:right w:w="113" w:type="dxa"/>
            </w:tcMar>
            <w:vAlign w:val="center"/>
          </w:tcPr>
          <w:p w14:paraId="676CADE5" w14:textId="77777777" w:rsidR="001D5BE6" w:rsidRPr="001D5BE6" w:rsidRDefault="001D5BE6" w:rsidP="001E3AC7">
            <w:pPr>
              <w:pStyle w:val="CDITable-RowCentre"/>
            </w:pPr>
            <w:r w:rsidRPr="001D5BE6">
              <w:t>0.19</w:t>
            </w:r>
          </w:p>
        </w:tc>
        <w:tc>
          <w:tcPr>
            <w:tcW w:w="992" w:type="dxa"/>
            <w:tcMar>
              <w:top w:w="100" w:type="dxa"/>
              <w:left w:w="113" w:type="dxa"/>
              <w:bottom w:w="100" w:type="dxa"/>
              <w:right w:w="113" w:type="dxa"/>
            </w:tcMar>
            <w:vAlign w:val="center"/>
          </w:tcPr>
          <w:p w14:paraId="4F581ACF" w14:textId="77777777" w:rsidR="001D5BE6" w:rsidRPr="001D5BE6" w:rsidRDefault="001D5BE6" w:rsidP="001E3AC7">
            <w:pPr>
              <w:pStyle w:val="CDITable-RowCentre"/>
            </w:pPr>
          </w:p>
        </w:tc>
        <w:tc>
          <w:tcPr>
            <w:tcW w:w="992" w:type="dxa"/>
            <w:tcMar>
              <w:top w:w="100" w:type="dxa"/>
              <w:left w:w="113" w:type="dxa"/>
              <w:bottom w:w="100" w:type="dxa"/>
              <w:right w:w="113" w:type="dxa"/>
            </w:tcMar>
            <w:vAlign w:val="center"/>
          </w:tcPr>
          <w:p w14:paraId="02095144" w14:textId="77777777" w:rsidR="001D5BE6" w:rsidRPr="001D5BE6" w:rsidRDefault="001D5BE6" w:rsidP="001E3AC7">
            <w:pPr>
              <w:pStyle w:val="CDITable-RowCentre"/>
            </w:pPr>
          </w:p>
        </w:tc>
        <w:tc>
          <w:tcPr>
            <w:tcW w:w="992" w:type="dxa"/>
            <w:tcMar>
              <w:top w:w="100" w:type="dxa"/>
              <w:left w:w="113" w:type="dxa"/>
              <w:bottom w:w="100" w:type="dxa"/>
              <w:right w:w="113" w:type="dxa"/>
            </w:tcMar>
            <w:vAlign w:val="center"/>
          </w:tcPr>
          <w:p w14:paraId="3A7F5DEB" w14:textId="77777777" w:rsidR="001D5BE6" w:rsidRPr="001D5BE6" w:rsidRDefault="001D5BE6" w:rsidP="001E3AC7">
            <w:pPr>
              <w:pStyle w:val="CDITable-RowCentre"/>
            </w:pPr>
          </w:p>
        </w:tc>
      </w:tr>
      <w:tr w:rsidR="001D5BE6" w:rsidRPr="001D5BE6" w14:paraId="0D7378B1" w14:textId="77777777" w:rsidTr="001E3AC7">
        <w:trPr>
          <w:divId w:val="935526654"/>
          <w:trHeight w:val="20"/>
        </w:trPr>
        <w:tc>
          <w:tcPr>
            <w:tcW w:w="2438" w:type="dxa"/>
            <w:tcMar>
              <w:top w:w="100" w:type="dxa"/>
              <w:left w:w="113" w:type="dxa"/>
              <w:bottom w:w="100" w:type="dxa"/>
              <w:right w:w="113" w:type="dxa"/>
            </w:tcMar>
            <w:vAlign w:val="center"/>
          </w:tcPr>
          <w:p w14:paraId="74CEA867" w14:textId="77777777" w:rsidR="001D5BE6" w:rsidRPr="001D5BE6" w:rsidRDefault="001D5BE6" w:rsidP="001E3AC7">
            <w:pPr>
              <w:pStyle w:val="CDITable-RowLeft"/>
            </w:pPr>
            <w:r w:rsidRPr="001D5BE6">
              <w:t>Teriyaki beef</w:t>
            </w:r>
          </w:p>
        </w:tc>
        <w:tc>
          <w:tcPr>
            <w:tcW w:w="992" w:type="dxa"/>
            <w:tcMar>
              <w:top w:w="100" w:type="dxa"/>
              <w:left w:w="113" w:type="dxa"/>
              <w:bottom w:w="100" w:type="dxa"/>
              <w:right w:w="113" w:type="dxa"/>
            </w:tcMar>
            <w:vAlign w:val="center"/>
          </w:tcPr>
          <w:p w14:paraId="371F7C44" w14:textId="77777777" w:rsidR="001D5BE6" w:rsidRPr="001D5BE6" w:rsidRDefault="001D5BE6" w:rsidP="001E3AC7">
            <w:pPr>
              <w:pStyle w:val="CDITable-RowCentre"/>
            </w:pPr>
            <w:r w:rsidRPr="001D5BE6">
              <w:t>6</w:t>
            </w:r>
          </w:p>
        </w:tc>
        <w:tc>
          <w:tcPr>
            <w:tcW w:w="992" w:type="dxa"/>
            <w:tcMar>
              <w:top w:w="100" w:type="dxa"/>
              <w:left w:w="113" w:type="dxa"/>
              <w:bottom w:w="100" w:type="dxa"/>
              <w:right w:w="113" w:type="dxa"/>
            </w:tcMar>
            <w:vAlign w:val="center"/>
          </w:tcPr>
          <w:p w14:paraId="4DEF187D" w14:textId="77777777" w:rsidR="001D5BE6" w:rsidRPr="001D5BE6" w:rsidRDefault="001D5BE6" w:rsidP="001E3AC7">
            <w:pPr>
              <w:pStyle w:val="CDITable-RowCentre"/>
            </w:pPr>
            <w:r w:rsidRPr="001D5BE6">
              <w:t>6</w:t>
            </w:r>
          </w:p>
        </w:tc>
        <w:tc>
          <w:tcPr>
            <w:tcW w:w="992" w:type="dxa"/>
            <w:tcMar>
              <w:top w:w="100" w:type="dxa"/>
              <w:left w:w="113" w:type="dxa"/>
              <w:bottom w:w="100" w:type="dxa"/>
              <w:right w:w="113" w:type="dxa"/>
            </w:tcMar>
            <w:vAlign w:val="center"/>
          </w:tcPr>
          <w:p w14:paraId="688B60CE" w14:textId="77777777" w:rsidR="001D5BE6" w:rsidRPr="001D5BE6" w:rsidRDefault="001D5BE6" w:rsidP="001E3AC7">
            <w:pPr>
              <w:pStyle w:val="CDITable-RowCentre"/>
            </w:pPr>
            <w:r w:rsidRPr="001D5BE6">
              <w:t>100.0</w:t>
            </w:r>
          </w:p>
        </w:tc>
        <w:tc>
          <w:tcPr>
            <w:tcW w:w="992" w:type="dxa"/>
            <w:tcMar>
              <w:top w:w="100" w:type="dxa"/>
              <w:left w:w="113" w:type="dxa"/>
              <w:bottom w:w="100" w:type="dxa"/>
              <w:right w:w="113" w:type="dxa"/>
            </w:tcMar>
            <w:vAlign w:val="center"/>
          </w:tcPr>
          <w:p w14:paraId="460DA02B" w14:textId="77777777" w:rsidR="001D5BE6" w:rsidRPr="001D5BE6" w:rsidRDefault="001D5BE6" w:rsidP="001E3AC7">
            <w:pPr>
              <w:pStyle w:val="CDITable-RowCentre"/>
            </w:pPr>
            <w:r w:rsidRPr="001D5BE6">
              <w:t>27</w:t>
            </w:r>
          </w:p>
        </w:tc>
        <w:tc>
          <w:tcPr>
            <w:tcW w:w="992" w:type="dxa"/>
            <w:tcMar>
              <w:top w:w="100" w:type="dxa"/>
              <w:left w:w="113" w:type="dxa"/>
              <w:bottom w:w="100" w:type="dxa"/>
              <w:right w:w="113" w:type="dxa"/>
            </w:tcMar>
            <w:vAlign w:val="center"/>
          </w:tcPr>
          <w:p w14:paraId="13C66997" w14:textId="77777777" w:rsidR="001D5BE6" w:rsidRPr="001D5BE6" w:rsidRDefault="001D5BE6" w:rsidP="001E3AC7">
            <w:pPr>
              <w:pStyle w:val="CDITable-RowCentre"/>
            </w:pPr>
            <w:r w:rsidRPr="001D5BE6">
              <w:t>61</w:t>
            </w:r>
          </w:p>
        </w:tc>
        <w:tc>
          <w:tcPr>
            <w:tcW w:w="993" w:type="dxa"/>
            <w:tcMar>
              <w:top w:w="100" w:type="dxa"/>
              <w:left w:w="113" w:type="dxa"/>
              <w:bottom w:w="100" w:type="dxa"/>
              <w:right w:w="113" w:type="dxa"/>
            </w:tcMar>
            <w:vAlign w:val="center"/>
          </w:tcPr>
          <w:p w14:paraId="3DCD82C6" w14:textId="77777777" w:rsidR="001D5BE6" w:rsidRPr="001D5BE6" w:rsidRDefault="001D5BE6" w:rsidP="001E3AC7">
            <w:pPr>
              <w:pStyle w:val="CDITable-RowCentre"/>
            </w:pPr>
            <w:r w:rsidRPr="001D5BE6">
              <w:t>44.3</w:t>
            </w:r>
          </w:p>
        </w:tc>
        <w:tc>
          <w:tcPr>
            <w:tcW w:w="992" w:type="dxa"/>
            <w:tcMar>
              <w:top w:w="100" w:type="dxa"/>
              <w:left w:w="113" w:type="dxa"/>
              <w:bottom w:w="100" w:type="dxa"/>
              <w:right w:w="113" w:type="dxa"/>
            </w:tcMar>
            <w:vAlign w:val="center"/>
          </w:tcPr>
          <w:p w14:paraId="101EB342" w14:textId="77777777" w:rsidR="001D5BE6" w:rsidRPr="001D5BE6" w:rsidRDefault="001D5BE6" w:rsidP="001E3AC7">
            <w:pPr>
              <w:pStyle w:val="CDITable-RowCentre"/>
            </w:pPr>
            <w:r w:rsidRPr="001D5BE6">
              <w:t>2.3</w:t>
            </w:r>
          </w:p>
        </w:tc>
        <w:tc>
          <w:tcPr>
            <w:tcW w:w="992" w:type="dxa"/>
            <w:tcMar>
              <w:top w:w="100" w:type="dxa"/>
              <w:left w:w="113" w:type="dxa"/>
              <w:bottom w:w="100" w:type="dxa"/>
              <w:right w:w="113" w:type="dxa"/>
            </w:tcMar>
            <w:vAlign w:val="center"/>
          </w:tcPr>
          <w:p w14:paraId="04CFAFD7" w14:textId="77777777" w:rsidR="001D5BE6" w:rsidRPr="001D5BE6" w:rsidRDefault="001D5BE6" w:rsidP="001E3AC7">
            <w:pPr>
              <w:pStyle w:val="CDITable-RowCentre"/>
            </w:pPr>
            <w:r w:rsidRPr="001D5BE6">
              <w:t>1.7–3.0</w:t>
            </w:r>
          </w:p>
        </w:tc>
        <w:tc>
          <w:tcPr>
            <w:tcW w:w="992" w:type="dxa"/>
            <w:tcMar>
              <w:top w:w="100" w:type="dxa"/>
              <w:left w:w="113" w:type="dxa"/>
              <w:bottom w:w="100" w:type="dxa"/>
              <w:right w:w="113" w:type="dxa"/>
            </w:tcMar>
            <w:vAlign w:val="center"/>
          </w:tcPr>
          <w:p w14:paraId="2E997BCF" w14:textId="77777777" w:rsidR="001D5BE6" w:rsidRPr="001D5BE6" w:rsidRDefault="001D5BE6" w:rsidP="001E3AC7">
            <w:pPr>
              <w:pStyle w:val="CDITable-RowCentre"/>
            </w:pPr>
            <w:r w:rsidRPr="001D5BE6">
              <w:t>0.01</w:t>
            </w:r>
          </w:p>
        </w:tc>
        <w:tc>
          <w:tcPr>
            <w:tcW w:w="992" w:type="dxa"/>
            <w:tcMar>
              <w:top w:w="100" w:type="dxa"/>
              <w:left w:w="113" w:type="dxa"/>
              <w:bottom w:w="100" w:type="dxa"/>
              <w:right w:w="113" w:type="dxa"/>
            </w:tcMar>
            <w:vAlign w:val="center"/>
          </w:tcPr>
          <w:p w14:paraId="512F9096" w14:textId="77777777" w:rsidR="001D5BE6" w:rsidRPr="001D5BE6" w:rsidRDefault="001D5BE6" w:rsidP="001E3AC7">
            <w:pPr>
              <w:pStyle w:val="CDITable-RowCentre"/>
            </w:pPr>
            <w:r w:rsidRPr="001D5BE6">
              <w:t xml:space="preserve">1.8 </w:t>
            </w:r>
          </w:p>
        </w:tc>
        <w:tc>
          <w:tcPr>
            <w:tcW w:w="992" w:type="dxa"/>
            <w:tcMar>
              <w:top w:w="100" w:type="dxa"/>
              <w:left w:w="113" w:type="dxa"/>
              <w:bottom w:w="100" w:type="dxa"/>
              <w:right w:w="113" w:type="dxa"/>
            </w:tcMar>
            <w:vAlign w:val="center"/>
          </w:tcPr>
          <w:p w14:paraId="28CAA2E9" w14:textId="77777777" w:rsidR="001D5BE6" w:rsidRPr="001D5BE6" w:rsidRDefault="001D5BE6" w:rsidP="001E3AC7">
            <w:pPr>
              <w:pStyle w:val="CDITable-RowCentre"/>
            </w:pPr>
            <w:r w:rsidRPr="001D5BE6">
              <w:t>0.9–3.8</w:t>
            </w:r>
          </w:p>
        </w:tc>
        <w:tc>
          <w:tcPr>
            <w:tcW w:w="992" w:type="dxa"/>
            <w:tcMar>
              <w:top w:w="100" w:type="dxa"/>
              <w:left w:w="113" w:type="dxa"/>
              <w:bottom w:w="100" w:type="dxa"/>
              <w:right w:w="113" w:type="dxa"/>
            </w:tcMar>
            <w:vAlign w:val="center"/>
          </w:tcPr>
          <w:p w14:paraId="00D88503" w14:textId="77777777" w:rsidR="001D5BE6" w:rsidRPr="001D5BE6" w:rsidRDefault="001D5BE6" w:rsidP="001E3AC7">
            <w:pPr>
              <w:pStyle w:val="CDITable-RowCentre"/>
            </w:pPr>
            <w:r w:rsidRPr="001D5BE6">
              <w:t>0.11</w:t>
            </w:r>
          </w:p>
        </w:tc>
      </w:tr>
      <w:tr w:rsidR="001D5BE6" w:rsidRPr="001D5BE6" w14:paraId="5A8BA41A" w14:textId="77777777" w:rsidTr="001E3AC7">
        <w:trPr>
          <w:divId w:val="935526654"/>
          <w:trHeight w:val="20"/>
        </w:trPr>
        <w:tc>
          <w:tcPr>
            <w:tcW w:w="2438" w:type="dxa"/>
            <w:tcMar>
              <w:top w:w="100" w:type="dxa"/>
              <w:left w:w="113" w:type="dxa"/>
              <w:bottom w:w="100" w:type="dxa"/>
              <w:right w:w="113" w:type="dxa"/>
            </w:tcMar>
            <w:vAlign w:val="center"/>
          </w:tcPr>
          <w:p w14:paraId="21E9E569" w14:textId="77777777" w:rsidR="001D5BE6" w:rsidRPr="001D5BE6" w:rsidRDefault="001D5BE6" w:rsidP="001E3AC7">
            <w:pPr>
              <w:pStyle w:val="CDITable-RowLeft"/>
            </w:pPr>
            <w:r w:rsidRPr="001D5BE6">
              <w:t>Any sushi</w:t>
            </w:r>
          </w:p>
        </w:tc>
        <w:tc>
          <w:tcPr>
            <w:tcW w:w="992" w:type="dxa"/>
            <w:tcMar>
              <w:top w:w="100" w:type="dxa"/>
              <w:left w:w="113" w:type="dxa"/>
              <w:bottom w:w="100" w:type="dxa"/>
              <w:right w:w="113" w:type="dxa"/>
            </w:tcMar>
            <w:vAlign w:val="center"/>
          </w:tcPr>
          <w:p w14:paraId="2512BA96" w14:textId="77777777" w:rsidR="001D5BE6" w:rsidRPr="001D5BE6" w:rsidRDefault="001D5BE6" w:rsidP="001E3AC7">
            <w:pPr>
              <w:pStyle w:val="CDITable-RowCentre"/>
            </w:pPr>
            <w:r w:rsidRPr="001D5BE6">
              <w:t>12</w:t>
            </w:r>
          </w:p>
        </w:tc>
        <w:tc>
          <w:tcPr>
            <w:tcW w:w="992" w:type="dxa"/>
            <w:tcMar>
              <w:top w:w="100" w:type="dxa"/>
              <w:left w:w="113" w:type="dxa"/>
              <w:bottom w:w="100" w:type="dxa"/>
              <w:right w:w="113" w:type="dxa"/>
            </w:tcMar>
            <w:vAlign w:val="center"/>
          </w:tcPr>
          <w:p w14:paraId="5A8CC89F" w14:textId="77777777" w:rsidR="001D5BE6" w:rsidRPr="001D5BE6" w:rsidRDefault="001D5BE6" w:rsidP="001E3AC7">
            <w:pPr>
              <w:pStyle w:val="CDITable-RowCentre"/>
            </w:pPr>
            <w:r w:rsidRPr="001D5BE6">
              <w:t>16</w:t>
            </w:r>
          </w:p>
        </w:tc>
        <w:tc>
          <w:tcPr>
            <w:tcW w:w="992" w:type="dxa"/>
            <w:tcMar>
              <w:top w:w="100" w:type="dxa"/>
              <w:left w:w="113" w:type="dxa"/>
              <w:bottom w:w="100" w:type="dxa"/>
              <w:right w:w="113" w:type="dxa"/>
            </w:tcMar>
            <w:vAlign w:val="center"/>
          </w:tcPr>
          <w:p w14:paraId="65F95FD4" w14:textId="77777777" w:rsidR="001D5BE6" w:rsidRPr="001D5BE6" w:rsidRDefault="001D5BE6" w:rsidP="001E3AC7">
            <w:pPr>
              <w:pStyle w:val="CDITable-RowCentre"/>
            </w:pPr>
            <w:r w:rsidRPr="001D5BE6">
              <w:t>75.0</w:t>
            </w:r>
          </w:p>
        </w:tc>
        <w:tc>
          <w:tcPr>
            <w:tcW w:w="992" w:type="dxa"/>
            <w:tcMar>
              <w:top w:w="100" w:type="dxa"/>
              <w:left w:w="113" w:type="dxa"/>
              <w:bottom w:w="100" w:type="dxa"/>
              <w:right w:w="113" w:type="dxa"/>
            </w:tcMar>
            <w:vAlign w:val="center"/>
          </w:tcPr>
          <w:p w14:paraId="2ADE24EE" w14:textId="77777777" w:rsidR="001D5BE6" w:rsidRPr="001D5BE6" w:rsidRDefault="001D5BE6" w:rsidP="001E3AC7">
            <w:pPr>
              <w:pStyle w:val="CDITable-RowCentre"/>
            </w:pPr>
            <w:r w:rsidRPr="001D5BE6">
              <w:t>21</w:t>
            </w:r>
          </w:p>
        </w:tc>
        <w:tc>
          <w:tcPr>
            <w:tcW w:w="992" w:type="dxa"/>
            <w:tcMar>
              <w:top w:w="100" w:type="dxa"/>
              <w:left w:w="113" w:type="dxa"/>
              <w:bottom w:w="100" w:type="dxa"/>
              <w:right w:w="113" w:type="dxa"/>
            </w:tcMar>
            <w:vAlign w:val="center"/>
          </w:tcPr>
          <w:p w14:paraId="273B7AEE" w14:textId="77777777" w:rsidR="001D5BE6" w:rsidRPr="001D5BE6" w:rsidRDefault="001D5BE6" w:rsidP="001E3AC7">
            <w:pPr>
              <w:pStyle w:val="CDITable-RowCentre"/>
            </w:pPr>
            <w:r w:rsidRPr="001D5BE6">
              <w:t>51</w:t>
            </w:r>
          </w:p>
        </w:tc>
        <w:tc>
          <w:tcPr>
            <w:tcW w:w="993" w:type="dxa"/>
            <w:tcMar>
              <w:top w:w="100" w:type="dxa"/>
              <w:left w:w="113" w:type="dxa"/>
              <w:bottom w:w="100" w:type="dxa"/>
              <w:right w:w="113" w:type="dxa"/>
            </w:tcMar>
            <w:vAlign w:val="center"/>
          </w:tcPr>
          <w:p w14:paraId="2FE7C657" w14:textId="77777777" w:rsidR="001D5BE6" w:rsidRPr="001D5BE6" w:rsidRDefault="001D5BE6" w:rsidP="001E3AC7">
            <w:pPr>
              <w:pStyle w:val="CDITable-RowCentre"/>
            </w:pPr>
            <w:r w:rsidRPr="001D5BE6">
              <w:t>41.2</w:t>
            </w:r>
          </w:p>
        </w:tc>
        <w:tc>
          <w:tcPr>
            <w:tcW w:w="992" w:type="dxa"/>
            <w:tcMar>
              <w:top w:w="100" w:type="dxa"/>
              <w:left w:w="113" w:type="dxa"/>
              <w:bottom w:w="100" w:type="dxa"/>
              <w:right w:w="113" w:type="dxa"/>
            </w:tcMar>
            <w:vAlign w:val="center"/>
          </w:tcPr>
          <w:p w14:paraId="69B0D530" w14:textId="77777777" w:rsidR="001D5BE6" w:rsidRPr="001D5BE6" w:rsidRDefault="001D5BE6" w:rsidP="001E3AC7">
            <w:pPr>
              <w:pStyle w:val="CDITable-RowCentre"/>
            </w:pPr>
            <w:r w:rsidRPr="001D5BE6">
              <w:t xml:space="preserve">1.8 </w:t>
            </w:r>
          </w:p>
        </w:tc>
        <w:tc>
          <w:tcPr>
            <w:tcW w:w="992" w:type="dxa"/>
            <w:tcMar>
              <w:top w:w="100" w:type="dxa"/>
              <w:left w:w="113" w:type="dxa"/>
              <w:bottom w:w="100" w:type="dxa"/>
              <w:right w:w="113" w:type="dxa"/>
            </w:tcMar>
            <w:vAlign w:val="center"/>
          </w:tcPr>
          <w:p w14:paraId="3FEF8D9F" w14:textId="77777777" w:rsidR="001D5BE6" w:rsidRPr="001D5BE6" w:rsidRDefault="001D5BE6" w:rsidP="001E3AC7">
            <w:pPr>
              <w:pStyle w:val="CDITable-RowCentre"/>
            </w:pPr>
            <w:r w:rsidRPr="001D5BE6">
              <w:t>1.2–2.8</w:t>
            </w:r>
          </w:p>
        </w:tc>
        <w:tc>
          <w:tcPr>
            <w:tcW w:w="992" w:type="dxa"/>
            <w:tcMar>
              <w:top w:w="100" w:type="dxa"/>
              <w:left w:w="113" w:type="dxa"/>
              <w:bottom w:w="100" w:type="dxa"/>
              <w:right w:w="113" w:type="dxa"/>
            </w:tcMar>
            <w:vAlign w:val="center"/>
          </w:tcPr>
          <w:p w14:paraId="6418D7EA" w14:textId="77777777" w:rsidR="001D5BE6" w:rsidRPr="001D5BE6" w:rsidRDefault="001D5BE6" w:rsidP="001E3AC7">
            <w:pPr>
              <w:pStyle w:val="CDITable-RowCentre"/>
            </w:pPr>
            <w:r w:rsidRPr="001D5BE6">
              <w:t>0.02</w:t>
            </w:r>
          </w:p>
        </w:tc>
        <w:tc>
          <w:tcPr>
            <w:tcW w:w="992" w:type="dxa"/>
            <w:tcMar>
              <w:top w:w="100" w:type="dxa"/>
              <w:left w:w="113" w:type="dxa"/>
              <w:bottom w:w="100" w:type="dxa"/>
              <w:right w:w="113" w:type="dxa"/>
            </w:tcMar>
            <w:vAlign w:val="center"/>
          </w:tcPr>
          <w:p w14:paraId="28200CF8" w14:textId="77777777" w:rsidR="001D5BE6" w:rsidRPr="001D5BE6" w:rsidRDefault="001D5BE6" w:rsidP="001E3AC7">
            <w:pPr>
              <w:pStyle w:val="CDITable-RowCentre"/>
            </w:pPr>
            <w:r w:rsidRPr="001D5BE6">
              <w:t xml:space="preserve"> 1.2 </w:t>
            </w:r>
          </w:p>
        </w:tc>
        <w:tc>
          <w:tcPr>
            <w:tcW w:w="992" w:type="dxa"/>
            <w:tcMar>
              <w:top w:w="100" w:type="dxa"/>
              <w:left w:w="113" w:type="dxa"/>
              <w:bottom w:w="100" w:type="dxa"/>
              <w:right w:w="113" w:type="dxa"/>
            </w:tcMar>
            <w:vAlign w:val="center"/>
          </w:tcPr>
          <w:p w14:paraId="709E3B37" w14:textId="77777777" w:rsidR="001D5BE6" w:rsidRPr="001D5BE6" w:rsidRDefault="001D5BE6" w:rsidP="001E3AC7">
            <w:pPr>
              <w:pStyle w:val="CDITable-RowCentre"/>
            </w:pPr>
            <w:r w:rsidRPr="001D5BE6">
              <w:t>0.6–2.5</w:t>
            </w:r>
          </w:p>
        </w:tc>
        <w:tc>
          <w:tcPr>
            <w:tcW w:w="992" w:type="dxa"/>
            <w:tcMar>
              <w:top w:w="100" w:type="dxa"/>
              <w:left w:w="113" w:type="dxa"/>
              <w:bottom w:w="100" w:type="dxa"/>
              <w:right w:w="113" w:type="dxa"/>
            </w:tcMar>
            <w:vAlign w:val="center"/>
          </w:tcPr>
          <w:p w14:paraId="0152A4DF" w14:textId="77777777" w:rsidR="001D5BE6" w:rsidRPr="001D5BE6" w:rsidRDefault="001D5BE6" w:rsidP="001E3AC7">
            <w:pPr>
              <w:pStyle w:val="CDITable-RowCentre"/>
            </w:pPr>
            <w:r w:rsidRPr="001D5BE6">
              <w:t>0.65</w:t>
            </w:r>
          </w:p>
        </w:tc>
      </w:tr>
      <w:tr w:rsidR="001D5BE6" w:rsidRPr="001D5BE6" w14:paraId="77BD9A79" w14:textId="77777777" w:rsidTr="001E3AC7">
        <w:trPr>
          <w:divId w:val="935526654"/>
          <w:trHeight w:val="20"/>
        </w:trPr>
        <w:tc>
          <w:tcPr>
            <w:tcW w:w="14343" w:type="dxa"/>
            <w:gridSpan w:val="13"/>
            <w:shd w:val="clear" w:color="auto" w:fill="C5FFEF" w:themeFill="background2" w:themeFillTint="33"/>
            <w:tcMar>
              <w:top w:w="100" w:type="dxa"/>
              <w:left w:w="113" w:type="dxa"/>
              <w:bottom w:w="100" w:type="dxa"/>
              <w:right w:w="113" w:type="dxa"/>
            </w:tcMar>
            <w:vAlign w:val="center"/>
          </w:tcPr>
          <w:p w14:paraId="3A234FEA" w14:textId="77777777" w:rsidR="001D5BE6" w:rsidRPr="000D1897" w:rsidRDefault="001D5BE6" w:rsidP="000D1897">
            <w:pPr>
              <w:pStyle w:val="CDITable-RowLeft"/>
              <w:rPr>
                <w:b/>
                <w:bCs/>
              </w:rPr>
            </w:pPr>
            <w:r w:rsidRPr="000D1897">
              <w:rPr>
                <w:b/>
                <w:bCs/>
              </w:rPr>
              <w:t>Wraps</w:t>
            </w:r>
          </w:p>
        </w:tc>
      </w:tr>
      <w:tr w:rsidR="001D5BE6" w:rsidRPr="001D5BE6" w14:paraId="06D94449" w14:textId="77777777" w:rsidTr="001E3AC7">
        <w:trPr>
          <w:divId w:val="935526654"/>
          <w:trHeight w:val="20"/>
        </w:trPr>
        <w:tc>
          <w:tcPr>
            <w:tcW w:w="2438" w:type="dxa"/>
            <w:tcMar>
              <w:top w:w="100" w:type="dxa"/>
              <w:left w:w="113" w:type="dxa"/>
              <w:bottom w:w="100" w:type="dxa"/>
              <w:right w:w="113" w:type="dxa"/>
            </w:tcMar>
            <w:vAlign w:val="center"/>
          </w:tcPr>
          <w:p w14:paraId="3FDC0553" w14:textId="77777777" w:rsidR="001D5BE6" w:rsidRPr="001D5BE6" w:rsidRDefault="001D5BE6" w:rsidP="001E3AC7">
            <w:pPr>
              <w:pStyle w:val="CDITable-RowLeft"/>
            </w:pPr>
            <w:r w:rsidRPr="001D5BE6">
              <w:t>Tandoori chicken wrap</w:t>
            </w:r>
          </w:p>
        </w:tc>
        <w:tc>
          <w:tcPr>
            <w:tcW w:w="992" w:type="dxa"/>
            <w:tcMar>
              <w:top w:w="100" w:type="dxa"/>
              <w:left w:w="113" w:type="dxa"/>
              <w:bottom w:w="100" w:type="dxa"/>
              <w:right w:w="113" w:type="dxa"/>
            </w:tcMar>
            <w:vAlign w:val="center"/>
          </w:tcPr>
          <w:p w14:paraId="76C5143F" w14:textId="77777777" w:rsidR="001D5BE6" w:rsidRPr="001D5BE6" w:rsidRDefault="001D5BE6" w:rsidP="001E3AC7">
            <w:pPr>
              <w:pStyle w:val="CDITable-RowCentre"/>
            </w:pPr>
            <w:r w:rsidRPr="001D5BE6">
              <w:t>8</w:t>
            </w:r>
          </w:p>
        </w:tc>
        <w:tc>
          <w:tcPr>
            <w:tcW w:w="992" w:type="dxa"/>
            <w:tcMar>
              <w:top w:w="100" w:type="dxa"/>
              <w:left w:w="113" w:type="dxa"/>
              <w:bottom w:w="100" w:type="dxa"/>
              <w:right w:w="113" w:type="dxa"/>
            </w:tcMar>
            <w:vAlign w:val="center"/>
          </w:tcPr>
          <w:p w14:paraId="01A69F97" w14:textId="77777777" w:rsidR="001D5BE6" w:rsidRPr="001D5BE6" w:rsidRDefault="001D5BE6" w:rsidP="001E3AC7">
            <w:pPr>
              <w:pStyle w:val="CDITable-RowCentre"/>
            </w:pPr>
            <w:r w:rsidRPr="001D5BE6">
              <w:t>15</w:t>
            </w:r>
          </w:p>
        </w:tc>
        <w:tc>
          <w:tcPr>
            <w:tcW w:w="992" w:type="dxa"/>
            <w:tcMar>
              <w:top w:w="100" w:type="dxa"/>
              <w:left w:w="113" w:type="dxa"/>
              <w:bottom w:w="100" w:type="dxa"/>
              <w:right w:w="113" w:type="dxa"/>
            </w:tcMar>
            <w:vAlign w:val="center"/>
          </w:tcPr>
          <w:p w14:paraId="70450A24" w14:textId="77777777" w:rsidR="001D5BE6" w:rsidRPr="001D5BE6" w:rsidRDefault="001D5BE6" w:rsidP="001E3AC7">
            <w:pPr>
              <w:pStyle w:val="CDITable-RowCentre"/>
            </w:pPr>
            <w:r w:rsidRPr="001D5BE6">
              <w:t>53.3</w:t>
            </w:r>
          </w:p>
        </w:tc>
        <w:tc>
          <w:tcPr>
            <w:tcW w:w="992" w:type="dxa"/>
            <w:tcMar>
              <w:top w:w="100" w:type="dxa"/>
              <w:left w:w="113" w:type="dxa"/>
              <w:bottom w:w="100" w:type="dxa"/>
              <w:right w:w="113" w:type="dxa"/>
            </w:tcMar>
            <w:vAlign w:val="center"/>
          </w:tcPr>
          <w:p w14:paraId="23A30051" w14:textId="77777777" w:rsidR="001D5BE6" w:rsidRPr="001D5BE6" w:rsidRDefault="001D5BE6" w:rsidP="001E3AC7">
            <w:pPr>
              <w:pStyle w:val="CDITable-RowCentre"/>
            </w:pPr>
            <w:r w:rsidRPr="001D5BE6">
              <w:t>25</w:t>
            </w:r>
          </w:p>
        </w:tc>
        <w:tc>
          <w:tcPr>
            <w:tcW w:w="992" w:type="dxa"/>
            <w:tcMar>
              <w:top w:w="100" w:type="dxa"/>
              <w:left w:w="113" w:type="dxa"/>
              <w:bottom w:w="100" w:type="dxa"/>
              <w:right w:w="113" w:type="dxa"/>
            </w:tcMar>
            <w:vAlign w:val="center"/>
          </w:tcPr>
          <w:p w14:paraId="3F4FDE65" w14:textId="77777777" w:rsidR="001D5BE6" w:rsidRPr="001D5BE6" w:rsidRDefault="001D5BE6" w:rsidP="001E3AC7">
            <w:pPr>
              <w:pStyle w:val="CDITable-RowCentre"/>
            </w:pPr>
            <w:r w:rsidRPr="001D5BE6">
              <w:t>52</w:t>
            </w:r>
          </w:p>
        </w:tc>
        <w:tc>
          <w:tcPr>
            <w:tcW w:w="993" w:type="dxa"/>
            <w:tcMar>
              <w:top w:w="100" w:type="dxa"/>
              <w:left w:w="113" w:type="dxa"/>
              <w:bottom w:w="100" w:type="dxa"/>
              <w:right w:w="113" w:type="dxa"/>
            </w:tcMar>
            <w:vAlign w:val="center"/>
          </w:tcPr>
          <w:p w14:paraId="7613A0A7" w14:textId="77777777" w:rsidR="001D5BE6" w:rsidRPr="001D5BE6" w:rsidRDefault="001D5BE6" w:rsidP="001E3AC7">
            <w:pPr>
              <w:pStyle w:val="CDITable-RowCentre"/>
            </w:pPr>
            <w:r w:rsidRPr="001D5BE6">
              <w:t>48.1</w:t>
            </w:r>
          </w:p>
        </w:tc>
        <w:tc>
          <w:tcPr>
            <w:tcW w:w="992" w:type="dxa"/>
            <w:tcMar>
              <w:top w:w="100" w:type="dxa"/>
              <w:left w:w="113" w:type="dxa"/>
              <w:bottom w:w="100" w:type="dxa"/>
              <w:right w:w="113" w:type="dxa"/>
            </w:tcMar>
            <w:vAlign w:val="center"/>
          </w:tcPr>
          <w:p w14:paraId="6A07304F" w14:textId="77777777" w:rsidR="001D5BE6" w:rsidRPr="001D5BE6" w:rsidRDefault="001D5BE6" w:rsidP="001E3AC7">
            <w:pPr>
              <w:pStyle w:val="CDITable-RowCentre"/>
            </w:pPr>
            <w:r w:rsidRPr="001D5BE6">
              <w:t xml:space="preserve">1.1 </w:t>
            </w:r>
          </w:p>
        </w:tc>
        <w:tc>
          <w:tcPr>
            <w:tcW w:w="992" w:type="dxa"/>
            <w:tcMar>
              <w:top w:w="100" w:type="dxa"/>
              <w:left w:w="113" w:type="dxa"/>
              <w:bottom w:w="100" w:type="dxa"/>
              <w:right w:w="113" w:type="dxa"/>
            </w:tcMar>
            <w:vAlign w:val="center"/>
          </w:tcPr>
          <w:p w14:paraId="30D53A77" w14:textId="77777777" w:rsidR="001D5BE6" w:rsidRPr="001D5BE6" w:rsidRDefault="001D5BE6" w:rsidP="001E3AC7">
            <w:pPr>
              <w:pStyle w:val="CDITable-RowCentre"/>
            </w:pPr>
            <w:r w:rsidRPr="001D5BE6">
              <w:t>0.6–1.9</w:t>
            </w:r>
          </w:p>
        </w:tc>
        <w:tc>
          <w:tcPr>
            <w:tcW w:w="992" w:type="dxa"/>
            <w:tcMar>
              <w:top w:w="100" w:type="dxa"/>
              <w:left w:w="113" w:type="dxa"/>
              <w:bottom w:w="100" w:type="dxa"/>
              <w:right w:w="113" w:type="dxa"/>
            </w:tcMar>
            <w:vAlign w:val="center"/>
          </w:tcPr>
          <w:p w14:paraId="7F30B30E" w14:textId="77777777" w:rsidR="001D5BE6" w:rsidRPr="001D5BE6" w:rsidRDefault="001D5BE6" w:rsidP="001E3AC7">
            <w:pPr>
              <w:pStyle w:val="CDITable-RowCentre"/>
            </w:pPr>
            <w:r w:rsidRPr="001D5BE6">
              <w:t>0.71</w:t>
            </w:r>
          </w:p>
        </w:tc>
        <w:tc>
          <w:tcPr>
            <w:tcW w:w="992" w:type="dxa"/>
            <w:tcMar>
              <w:top w:w="100" w:type="dxa"/>
              <w:left w:w="113" w:type="dxa"/>
              <w:bottom w:w="100" w:type="dxa"/>
              <w:right w:w="113" w:type="dxa"/>
            </w:tcMar>
            <w:vAlign w:val="center"/>
          </w:tcPr>
          <w:p w14:paraId="0A521966" w14:textId="77777777" w:rsidR="001D5BE6" w:rsidRPr="001D5BE6" w:rsidRDefault="001D5BE6" w:rsidP="001E3AC7">
            <w:pPr>
              <w:pStyle w:val="CDITable-RowCentre"/>
            </w:pPr>
          </w:p>
        </w:tc>
        <w:tc>
          <w:tcPr>
            <w:tcW w:w="992" w:type="dxa"/>
            <w:tcMar>
              <w:top w:w="100" w:type="dxa"/>
              <w:left w:w="113" w:type="dxa"/>
              <w:bottom w:w="100" w:type="dxa"/>
              <w:right w:w="113" w:type="dxa"/>
            </w:tcMar>
            <w:vAlign w:val="center"/>
          </w:tcPr>
          <w:p w14:paraId="0AA51488" w14:textId="77777777" w:rsidR="001D5BE6" w:rsidRPr="001D5BE6" w:rsidRDefault="001D5BE6" w:rsidP="001E3AC7">
            <w:pPr>
              <w:pStyle w:val="CDITable-RowCentre"/>
            </w:pPr>
          </w:p>
        </w:tc>
        <w:tc>
          <w:tcPr>
            <w:tcW w:w="992" w:type="dxa"/>
            <w:tcMar>
              <w:top w:w="100" w:type="dxa"/>
              <w:left w:w="113" w:type="dxa"/>
              <w:bottom w:w="100" w:type="dxa"/>
              <w:right w:w="113" w:type="dxa"/>
            </w:tcMar>
            <w:vAlign w:val="center"/>
          </w:tcPr>
          <w:p w14:paraId="7A115AE7" w14:textId="77777777" w:rsidR="001D5BE6" w:rsidRPr="001D5BE6" w:rsidRDefault="001D5BE6" w:rsidP="001E3AC7">
            <w:pPr>
              <w:pStyle w:val="CDITable-RowCentre"/>
            </w:pPr>
          </w:p>
        </w:tc>
      </w:tr>
      <w:tr w:rsidR="001D5BE6" w:rsidRPr="001D5BE6" w14:paraId="346627BC" w14:textId="77777777" w:rsidTr="001E3AC7">
        <w:trPr>
          <w:divId w:val="935526654"/>
          <w:trHeight w:val="20"/>
        </w:trPr>
        <w:tc>
          <w:tcPr>
            <w:tcW w:w="2438" w:type="dxa"/>
            <w:tcMar>
              <w:top w:w="100" w:type="dxa"/>
              <w:left w:w="113" w:type="dxa"/>
              <w:bottom w:w="100" w:type="dxa"/>
              <w:right w:w="113" w:type="dxa"/>
            </w:tcMar>
            <w:vAlign w:val="center"/>
          </w:tcPr>
          <w:p w14:paraId="581D5B71" w14:textId="77777777" w:rsidR="001D5BE6" w:rsidRPr="001D5BE6" w:rsidRDefault="001D5BE6" w:rsidP="001E3AC7">
            <w:pPr>
              <w:pStyle w:val="CDITable-RowLeft"/>
            </w:pPr>
            <w:r w:rsidRPr="001D5BE6">
              <w:t>Roast beef wrap</w:t>
            </w:r>
          </w:p>
        </w:tc>
        <w:tc>
          <w:tcPr>
            <w:tcW w:w="992" w:type="dxa"/>
            <w:tcMar>
              <w:top w:w="100" w:type="dxa"/>
              <w:left w:w="113" w:type="dxa"/>
              <w:bottom w:w="100" w:type="dxa"/>
              <w:right w:w="113" w:type="dxa"/>
            </w:tcMar>
            <w:vAlign w:val="center"/>
          </w:tcPr>
          <w:p w14:paraId="7949DD5B" w14:textId="77777777" w:rsidR="001D5BE6" w:rsidRPr="001D5BE6" w:rsidRDefault="001D5BE6" w:rsidP="001E3AC7">
            <w:pPr>
              <w:pStyle w:val="CDITable-RowCentre"/>
            </w:pPr>
            <w:r w:rsidRPr="001D5BE6">
              <w:t>11</w:t>
            </w:r>
          </w:p>
        </w:tc>
        <w:tc>
          <w:tcPr>
            <w:tcW w:w="992" w:type="dxa"/>
            <w:tcMar>
              <w:top w:w="100" w:type="dxa"/>
              <w:left w:w="113" w:type="dxa"/>
              <w:bottom w:w="100" w:type="dxa"/>
              <w:right w:w="113" w:type="dxa"/>
            </w:tcMar>
            <w:vAlign w:val="center"/>
          </w:tcPr>
          <w:p w14:paraId="21BDEE10" w14:textId="77777777" w:rsidR="001D5BE6" w:rsidRPr="001D5BE6" w:rsidRDefault="001D5BE6" w:rsidP="001E3AC7">
            <w:pPr>
              <w:pStyle w:val="CDITable-RowCentre"/>
            </w:pPr>
            <w:r w:rsidRPr="001D5BE6">
              <w:t>15</w:t>
            </w:r>
          </w:p>
        </w:tc>
        <w:tc>
          <w:tcPr>
            <w:tcW w:w="992" w:type="dxa"/>
            <w:tcMar>
              <w:top w:w="100" w:type="dxa"/>
              <w:left w:w="113" w:type="dxa"/>
              <w:bottom w:w="100" w:type="dxa"/>
              <w:right w:w="113" w:type="dxa"/>
            </w:tcMar>
            <w:vAlign w:val="center"/>
          </w:tcPr>
          <w:p w14:paraId="0E6294FC" w14:textId="77777777" w:rsidR="001D5BE6" w:rsidRPr="001D5BE6" w:rsidRDefault="001D5BE6" w:rsidP="001E3AC7">
            <w:pPr>
              <w:pStyle w:val="CDITable-RowCentre"/>
            </w:pPr>
            <w:r w:rsidRPr="001D5BE6">
              <w:t>73.3</w:t>
            </w:r>
          </w:p>
        </w:tc>
        <w:tc>
          <w:tcPr>
            <w:tcW w:w="992" w:type="dxa"/>
            <w:tcMar>
              <w:top w:w="100" w:type="dxa"/>
              <w:left w:w="113" w:type="dxa"/>
              <w:bottom w:w="100" w:type="dxa"/>
              <w:right w:w="113" w:type="dxa"/>
            </w:tcMar>
            <w:vAlign w:val="center"/>
          </w:tcPr>
          <w:p w14:paraId="76FA51B9" w14:textId="77777777" w:rsidR="001D5BE6" w:rsidRPr="001D5BE6" w:rsidRDefault="001D5BE6" w:rsidP="001E3AC7">
            <w:pPr>
              <w:pStyle w:val="CDITable-RowCentre"/>
            </w:pPr>
            <w:r w:rsidRPr="001D5BE6">
              <w:t>22</w:t>
            </w:r>
          </w:p>
        </w:tc>
        <w:tc>
          <w:tcPr>
            <w:tcW w:w="992" w:type="dxa"/>
            <w:tcMar>
              <w:top w:w="100" w:type="dxa"/>
              <w:left w:w="113" w:type="dxa"/>
              <w:bottom w:w="100" w:type="dxa"/>
              <w:right w:w="113" w:type="dxa"/>
            </w:tcMar>
            <w:vAlign w:val="center"/>
          </w:tcPr>
          <w:p w14:paraId="7C1E1FAA" w14:textId="77777777" w:rsidR="001D5BE6" w:rsidRPr="001D5BE6" w:rsidRDefault="001D5BE6" w:rsidP="001E3AC7">
            <w:pPr>
              <w:pStyle w:val="CDITable-RowCentre"/>
            </w:pPr>
            <w:r w:rsidRPr="001D5BE6">
              <w:t>52</w:t>
            </w:r>
          </w:p>
        </w:tc>
        <w:tc>
          <w:tcPr>
            <w:tcW w:w="993" w:type="dxa"/>
            <w:tcMar>
              <w:top w:w="100" w:type="dxa"/>
              <w:left w:w="113" w:type="dxa"/>
              <w:bottom w:w="100" w:type="dxa"/>
              <w:right w:w="113" w:type="dxa"/>
            </w:tcMar>
            <w:vAlign w:val="center"/>
          </w:tcPr>
          <w:p w14:paraId="2AB1A788" w14:textId="77777777" w:rsidR="001D5BE6" w:rsidRPr="001D5BE6" w:rsidRDefault="001D5BE6" w:rsidP="001E3AC7">
            <w:pPr>
              <w:pStyle w:val="CDITable-RowCentre"/>
            </w:pPr>
            <w:r w:rsidRPr="001D5BE6">
              <w:t>42.3</w:t>
            </w:r>
          </w:p>
        </w:tc>
        <w:tc>
          <w:tcPr>
            <w:tcW w:w="992" w:type="dxa"/>
            <w:tcMar>
              <w:top w:w="100" w:type="dxa"/>
              <w:left w:w="113" w:type="dxa"/>
              <w:bottom w:w="100" w:type="dxa"/>
              <w:right w:w="113" w:type="dxa"/>
            </w:tcMar>
            <w:vAlign w:val="center"/>
          </w:tcPr>
          <w:p w14:paraId="7C74E019" w14:textId="77777777" w:rsidR="001D5BE6" w:rsidRPr="001D5BE6" w:rsidRDefault="001D5BE6" w:rsidP="001E3AC7">
            <w:pPr>
              <w:pStyle w:val="CDITable-RowCentre"/>
            </w:pPr>
            <w:r w:rsidRPr="001D5BE6">
              <w:t xml:space="preserve">1.7 </w:t>
            </w:r>
          </w:p>
        </w:tc>
        <w:tc>
          <w:tcPr>
            <w:tcW w:w="992" w:type="dxa"/>
            <w:tcMar>
              <w:top w:w="100" w:type="dxa"/>
              <w:left w:w="113" w:type="dxa"/>
              <w:bottom w:w="100" w:type="dxa"/>
              <w:right w:w="113" w:type="dxa"/>
            </w:tcMar>
            <w:vAlign w:val="center"/>
          </w:tcPr>
          <w:p w14:paraId="2AC61B2A" w14:textId="77777777" w:rsidR="001D5BE6" w:rsidRPr="001D5BE6" w:rsidRDefault="001D5BE6" w:rsidP="001E3AC7">
            <w:pPr>
              <w:pStyle w:val="CDITable-RowCentre"/>
            </w:pPr>
            <w:r w:rsidRPr="001D5BE6">
              <w:t>1.1–2.7</w:t>
            </w:r>
          </w:p>
        </w:tc>
        <w:tc>
          <w:tcPr>
            <w:tcW w:w="992" w:type="dxa"/>
            <w:tcMar>
              <w:top w:w="100" w:type="dxa"/>
              <w:left w:w="113" w:type="dxa"/>
              <w:bottom w:w="100" w:type="dxa"/>
              <w:right w:w="113" w:type="dxa"/>
            </w:tcMar>
            <w:vAlign w:val="center"/>
          </w:tcPr>
          <w:p w14:paraId="0D0CEC4F" w14:textId="77777777" w:rsidR="001D5BE6" w:rsidRPr="001D5BE6" w:rsidRDefault="001D5BE6" w:rsidP="001E3AC7">
            <w:pPr>
              <w:pStyle w:val="CDITable-RowCentre"/>
            </w:pPr>
            <w:r w:rsidRPr="001D5BE6">
              <w:t>0.04</w:t>
            </w:r>
          </w:p>
        </w:tc>
        <w:tc>
          <w:tcPr>
            <w:tcW w:w="992" w:type="dxa"/>
            <w:tcMar>
              <w:top w:w="100" w:type="dxa"/>
              <w:left w:w="113" w:type="dxa"/>
              <w:bottom w:w="100" w:type="dxa"/>
              <w:right w:w="113" w:type="dxa"/>
            </w:tcMar>
            <w:vAlign w:val="center"/>
          </w:tcPr>
          <w:p w14:paraId="43D24234" w14:textId="77777777" w:rsidR="001D5BE6" w:rsidRPr="001D5BE6" w:rsidRDefault="001D5BE6" w:rsidP="001E3AC7">
            <w:pPr>
              <w:pStyle w:val="CDITable-RowCentre"/>
            </w:pPr>
            <w:r w:rsidRPr="001D5BE6">
              <w:t xml:space="preserve">1.0 </w:t>
            </w:r>
          </w:p>
        </w:tc>
        <w:tc>
          <w:tcPr>
            <w:tcW w:w="992" w:type="dxa"/>
            <w:tcMar>
              <w:top w:w="100" w:type="dxa"/>
              <w:left w:w="113" w:type="dxa"/>
              <w:bottom w:w="100" w:type="dxa"/>
              <w:right w:w="113" w:type="dxa"/>
            </w:tcMar>
            <w:vAlign w:val="center"/>
          </w:tcPr>
          <w:p w14:paraId="7442A4DF" w14:textId="77777777" w:rsidR="001D5BE6" w:rsidRPr="001D5BE6" w:rsidRDefault="001D5BE6" w:rsidP="001E3AC7">
            <w:pPr>
              <w:pStyle w:val="CDITable-RowCentre"/>
            </w:pPr>
            <w:r w:rsidRPr="001D5BE6">
              <w:t>0.5–2.0</w:t>
            </w:r>
          </w:p>
        </w:tc>
        <w:tc>
          <w:tcPr>
            <w:tcW w:w="992" w:type="dxa"/>
            <w:tcMar>
              <w:top w:w="100" w:type="dxa"/>
              <w:left w:w="113" w:type="dxa"/>
              <w:bottom w:w="100" w:type="dxa"/>
              <w:right w:w="113" w:type="dxa"/>
            </w:tcMar>
            <w:vAlign w:val="center"/>
          </w:tcPr>
          <w:p w14:paraId="3BBBF300" w14:textId="77777777" w:rsidR="001D5BE6" w:rsidRPr="001D5BE6" w:rsidRDefault="001D5BE6" w:rsidP="001E3AC7">
            <w:pPr>
              <w:pStyle w:val="CDITable-RowCentre"/>
            </w:pPr>
            <w:r w:rsidRPr="001D5BE6">
              <w:t>0.94</w:t>
            </w:r>
          </w:p>
        </w:tc>
      </w:tr>
      <w:tr w:rsidR="001D5BE6" w:rsidRPr="001D5BE6" w14:paraId="581DE4DA" w14:textId="77777777" w:rsidTr="001E3AC7">
        <w:trPr>
          <w:divId w:val="935526654"/>
          <w:trHeight w:val="20"/>
        </w:trPr>
        <w:tc>
          <w:tcPr>
            <w:tcW w:w="2438" w:type="dxa"/>
            <w:tcMar>
              <w:top w:w="100" w:type="dxa"/>
              <w:left w:w="113" w:type="dxa"/>
              <w:bottom w:w="100" w:type="dxa"/>
              <w:right w:w="113" w:type="dxa"/>
            </w:tcMar>
            <w:vAlign w:val="center"/>
          </w:tcPr>
          <w:p w14:paraId="4E0F1DE1" w14:textId="77777777" w:rsidR="001D5BE6" w:rsidRPr="001D5BE6" w:rsidRDefault="001D5BE6" w:rsidP="001E3AC7">
            <w:pPr>
              <w:pStyle w:val="CDITable-RowLeft"/>
            </w:pPr>
            <w:r w:rsidRPr="001D5BE6">
              <w:t>Roast vegetable wrap</w:t>
            </w:r>
          </w:p>
        </w:tc>
        <w:tc>
          <w:tcPr>
            <w:tcW w:w="992" w:type="dxa"/>
            <w:tcMar>
              <w:top w:w="100" w:type="dxa"/>
              <w:left w:w="113" w:type="dxa"/>
              <w:bottom w:w="100" w:type="dxa"/>
              <w:right w:w="113" w:type="dxa"/>
            </w:tcMar>
            <w:vAlign w:val="center"/>
          </w:tcPr>
          <w:p w14:paraId="34FA1EA0" w14:textId="77777777" w:rsidR="001D5BE6" w:rsidRPr="001D5BE6" w:rsidRDefault="001D5BE6" w:rsidP="001E3AC7">
            <w:pPr>
              <w:pStyle w:val="CDITable-RowCentre"/>
            </w:pPr>
            <w:r w:rsidRPr="001D5BE6">
              <w:t>6</w:t>
            </w:r>
          </w:p>
        </w:tc>
        <w:tc>
          <w:tcPr>
            <w:tcW w:w="992" w:type="dxa"/>
            <w:tcMar>
              <w:top w:w="100" w:type="dxa"/>
              <w:left w:w="113" w:type="dxa"/>
              <w:bottom w:w="100" w:type="dxa"/>
              <w:right w:w="113" w:type="dxa"/>
            </w:tcMar>
            <w:vAlign w:val="center"/>
          </w:tcPr>
          <w:p w14:paraId="7A75AA73" w14:textId="77777777" w:rsidR="001D5BE6" w:rsidRPr="001D5BE6" w:rsidRDefault="001D5BE6" w:rsidP="001E3AC7">
            <w:pPr>
              <w:pStyle w:val="CDITable-RowCentre"/>
            </w:pPr>
            <w:r w:rsidRPr="001D5BE6">
              <w:t>13</w:t>
            </w:r>
          </w:p>
        </w:tc>
        <w:tc>
          <w:tcPr>
            <w:tcW w:w="992" w:type="dxa"/>
            <w:tcMar>
              <w:top w:w="100" w:type="dxa"/>
              <w:left w:w="113" w:type="dxa"/>
              <w:bottom w:w="100" w:type="dxa"/>
              <w:right w:w="113" w:type="dxa"/>
            </w:tcMar>
            <w:vAlign w:val="center"/>
          </w:tcPr>
          <w:p w14:paraId="0F19052D" w14:textId="77777777" w:rsidR="001D5BE6" w:rsidRPr="001D5BE6" w:rsidRDefault="001D5BE6" w:rsidP="001E3AC7">
            <w:pPr>
              <w:pStyle w:val="CDITable-RowCentre"/>
            </w:pPr>
            <w:r w:rsidRPr="001D5BE6">
              <w:t>46.2</w:t>
            </w:r>
          </w:p>
        </w:tc>
        <w:tc>
          <w:tcPr>
            <w:tcW w:w="992" w:type="dxa"/>
            <w:tcMar>
              <w:top w:w="100" w:type="dxa"/>
              <w:left w:w="113" w:type="dxa"/>
              <w:bottom w:w="100" w:type="dxa"/>
              <w:right w:w="113" w:type="dxa"/>
            </w:tcMar>
            <w:vAlign w:val="center"/>
          </w:tcPr>
          <w:p w14:paraId="4DE84B84" w14:textId="77777777" w:rsidR="001D5BE6" w:rsidRPr="001D5BE6" w:rsidRDefault="001D5BE6" w:rsidP="001E3AC7">
            <w:pPr>
              <w:pStyle w:val="CDITable-RowCentre"/>
            </w:pPr>
            <w:r w:rsidRPr="001D5BE6">
              <w:t>27</w:t>
            </w:r>
          </w:p>
        </w:tc>
        <w:tc>
          <w:tcPr>
            <w:tcW w:w="992" w:type="dxa"/>
            <w:tcMar>
              <w:top w:w="100" w:type="dxa"/>
              <w:left w:w="113" w:type="dxa"/>
              <w:bottom w:w="100" w:type="dxa"/>
              <w:right w:w="113" w:type="dxa"/>
            </w:tcMar>
            <w:vAlign w:val="center"/>
          </w:tcPr>
          <w:p w14:paraId="63A5DB52" w14:textId="77777777" w:rsidR="001D5BE6" w:rsidRPr="001D5BE6" w:rsidRDefault="001D5BE6" w:rsidP="001E3AC7">
            <w:pPr>
              <w:pStyle w:val="CDITable-RowCentre"/>
            </w:pPr>
            <w:r w:rsidRPr="001D5BE6">
              <w:t>54</w:t>
            </w:r>
          </w:p>
        </w:tc>
        <w:tc>
          <w:tcPr>
            <w:tcW w:w="993" w:type="dxa"/>
            <w:tcMar>
              <w:top w:w="100" w:type="dxa"/>
              <w:left w:w="113" w:type="dxa"/>
              <w:bottom w:w="100" w:type="dxa"/>
              <w:right w:w="113" w:type="dxa"/>
            </w:tcMar>
            <w:vAlign w:val="center"/>
          </w:tcPr>
          <w:p w14:paraId="6CDBC6DB" w14:textId="77777777" w:rsidR="001D5BE6" w:rsidRPr="001D5BE6" w:rsidRDefault="001D5BE6" w:rsidP="001E3AC7">
            <w:pPr>
              <w:pStyle w:val="CDITable-RowCentre"/>
            </w:pPr>
            <w:r w:rsidRPr="001D5BE6">
              <w:t>50.0</w:t>
            </w:r>
          </w:p>
        </w:tc>
        <w:tc>
          <w:tcPr>
            <w:tcW w:w="992" w:type="dxa"/>
            <w:tcMar>
              <w:top w:w="100" w:type="dxa"/>
              <w:left w:w="113" w:type="dxa"/>
              <w:bottom w:w="100" w:type="dxa"/>
              <w:right w:w="113" w:type="dxa"/>
            </w:tcMar>
            <w:vAlign w:val="center"/>
          </w:tcPr>
          <w:p w14:paraId="4668B93E" w14:textId="77777777" w:rsidR="001D5BE6" w:rsidRPr="001D5BE6" w:rsidRDefault="001D5BE6" w:rsidP="001E3AC7">
            <w:pPr>
              <w:pStyle w:val="CDITable-RowCentre"/>
            </w:pPr>
            <w:r w:rsidRPr="001D5BE6">
              <w:t xml:space="preserve">0.9 </w:t>
            </w:r>
          </w:p>
        </w:tc>
        <w:tc>
          <w:tcPr>
            <w:tcW w:w="992" w:type="dxa"/>
            <w:tcMar>
              <w:top w:w="100" w:type="dxa"/>
              <w:left w:w="113" w:type="dxa"/>
              <w:bottom w:w="100" w:type="dxa"/>
              <w:right w:w="113" w:type="dxa"/>
            </w:tcMar>
            <w:vAlign w:val="center"/>
          </w:tcPr>
          <w:p w14:paraId="3A9758C4" w14:textId="77777777" w:rsidR="001D5BE6" w:rsidRPr="001D5BE6" w:rsidRDefault="001D5BE6" w:rsidP="001E3AC7">
            <w:pPr>
              <w:pStyle w:val="CDITable-RowCentre"/>
            </w:pPr>
            <w:r w:rsidRPr="001D5BE6">
              <w:t>0.5–1.8</w:t>
            </w:r>
          </w:p>
        </w:tc>
        <w:tc>
          <w:tcPr>
            <w:tcW w:w="992" w:type="dxa"/>
            <w:tcMar>
              <w:top w:w="100" w:type="dxa"/>
              <w:left w:w="113" w:type="dxa"/>
              <w:bottom w:w="100" w:type="dxa"/>
              <w:right w:w="113" w:type="dxa"/>
            </w:tcMar>
            <w:vAlign w:val="center"/>
          </w:tcPr>
          <w:p w14:paraId="5B35177E" w14:textId="77777777" w:rsidR="001D5BE6" w:rsidRPr="001D5BE6" w:rsidRDefault="001D5BE6" w:rsidP="001E3AC7">
            <w:pPr>
              <w:pStyle w:val="CDITable-RowCentre"/>
            </w:pPr>
            <w:r w:rsidRPr="001D5BE6">
              <w:t>0.80</w:t>
            </w:r>
          </w:p>
        </w:tc>
        <w:tc>
          <w:tcPr>
            <w:tcW w:w="992" w:type="dxa"/>
            <w:tcMar>
              <w:top w:w="100" w:type="dxa"/>
              <w:left w:w="113" w:type="dxa"/>
              <w:bottom w:w="100" w:type="dxa"/>
              <w:right w:w="113" w:type="dxa"/>
            </w:tcMar>
            <w:vAlign w:val="center"/>
          </w:tcPr>
          <w:p w14:paraId="1ED310C5" w14:textId="77777777" w:rsidR="001D5BE6" w:rsidRPr="001D5BE6" w:rsidRDefault="001D5BE6" w:rsidP="001E3AC7">
            <w:pPr>
              <w:pStyle w:val="CDITable-RowCentre"/>
            </w:pPr>
          </w:p>
        </w:tc>
        <w:tc>
          <w:tcPr>
            <w:tcW w:w="992" w:type="dxa"/>
            <w:tcMar>
              <w:top w:w="100" w:type="dxa"/>
              <w:left w:w="113" w:type="dxa"/>
              <w:bottom w:w="100" w:type="dxa"/>
              <w:right w:w="113" w:type="dxa"/>
            </w:tcMar>
            <w:vAlign w:val="center"/>
          </w:tcPr>
          <w:p w14:paraId="223720CC" w14:textId="77777777" w:rsidR="001D5BE6" w:rsidRPr="001D5BE6" w:rsidRDefault="001D5BE6" w:rsidP="001E3AC7">
            <w:pPr>
              <w:pStyle w:val="CDITable-RowCentre"/>
            </w:pPr>
          </w:p>
        </w:tc>
        <w:tc>
          <w:tcPr>
            <w:tcW w:w="992" w:type="dxa"/>
            <w:tcMar>
              <w:top w:w="100" w:type="dxa"/>
              <w:left w:w="113" w:type="dxa"/>
              <w:bottom w:w="100" w:type="dxa"/>
              <w:right w:w="113" w:type="dxa"/>
            </w:tcMar>
            <w:vAlign w:val="center"/>
          </w:tcPr>
          <w:p w14:paraId="37F1F3AC" w14:textId="77777777" w:rsidR="001D5BE6" w:rsidRPr="001D5BE6" w:rsidRDefault="001D5BE6" w:rsidP="001E3AC7">
            <w:pPr>
              <w:pStyle w:val="CDITable-RowCentre"/>
            </w:pPr>
          </w:p>
        </w:tc>
      </w:tr>
      <w:tr w:rsidR="001D5BE6" w:rsidRPr="001D5BE6" w14:paraId="5C08A39D" w14:textId="77777777" w:rsidTr="001E3AC7">
        <w:trPr>
          <w:divId w:val="935526654"/>
          <w:trHeight w:val="20"/>
        </w:trPr>
        <w:tc>
          <w:tcPr>
            <w:tcW w:w="2438" w:type="dxa"/>
            <w:tcMar>
              <w:top w:w="100" w:type="dxa"/>
              <w:left w:w="113" w:type="dxa"/>
              <w:bottom w:w="100" w:type="dxa"/>
              <w:right w:w="113" w:type="dxa"/>
            </w:tcMar>
            <w:vAlign w:val="center"/>
          </w:tcPr>
          <w:p w14:paraId="0DE15118" w14:textId="77777777" w:rsidR="001D5BE6" w:rsidRPr="001D5BE6" w:rsidRDefault="001D5BE6" w:rsidP="001E3AC7">
            <w:pPr>
              <w:pStyle w:val="CDITable-RowLeft"/>
            </w:pPr>
            <w:r w:rsidRPr="001D5BE6">
              <w:t>Any wrap</w:t>
            </w:r>
          </w:p>
        </w:tc>
        <w:tc>
          <w:tcPr>
            <w:tcW w:w="992" w:type="dxa"/>
            <w:tcMar>
              <w:top w:w="100" w:type="dxa"/>
              <w:left w:w="113" w:type="dxa"/>
              <w:bottom w:w="100" w:type="dxa"/>
              <w:right w:w="113" w:type="dxa"/>
            </w:tcMar>
            <w:vAlign w:val="center"/>
          </w:tcPr>
          <w:p w14:paraId="17F0CDA7" w14:textId="77777777" w:rsidR="001D5BE6" w:rsidRPr="001D5BE6" w:rsidRDefault="001D5BE6" w:rsidP="001E3AC7">
            <w:pPr>
              <w:pStyle w:val="CDITable-RowCentre"/>
            </w:pPr>
            <w:r w:rsidRPr="001D5BE6">
              <w:t>20</w:t>
            </w:r>
          </w:p>
        </w:tc>
        <w:tc>
          <w:tcPr>
            <w:tcW w:w="992" w:type="dxa"/>
            <w:tcMar>
              <w:top w:w="100" w:type="dxa"/>
              <w:left w:w="113" w:type="dxa"/>
              <w:bottom w:w="100" w:type="dxa"/>
              <w:right w:w="113" w:type="dxa"/>
            </w:tcMar>
            <w:vAlign w:val="center"/>
          </w:tcPr>
          <w:p w14:paraId="0C0E4189" w14:textId="77777777" w:rsidR="001D5BE6" w:rsidRPr="001D5BE6" w:rsidRDefault="001D5BE6" w:rsidP="001E3AC7">
            <w:pPr>
              <w:pStyle w:val="CDITable-RowCentre"/>
            </w:pPr>
            <w:r w:rsidRPr="001D5BE6">
              <w:t>33</w:t>
            </w:r>
          </w:p>
        </w:tc>
        <w:tc>
          <w:tcPr>
            <w:tcW w:w="992" w:type="dxa"/>
            <w:tcMar>
              <w:top w:w="100" w:type="dxa"/>
              <w:left w:w="113" w:type="dxa"/>
              <w:bottom w:w="100" w:type="dxa"/>
              <w:right w:w="113" w:type="dxa"/>
            </w:tcMar>
            <w:vAlign w:val="center"/>
          </w:tcPr>
          <w:p w14:paraId="19F4CB49" w14:textId="77777777" w:rsidR="001D5BE6" w:rsidRPr="001D5BE6" w:rsidRDefault="001D5BE6" w:rsidP="001E3AC7">
            <w:pPr>
              <w:pStyle w:val="CDITable-RowCentre"/>
            </w:pPr>
            <w:r w:rsidRPr="001D5BE6">
              <w:t>60.6</w:t>
            </w:r>
          </w:p>
        </w:tc>
        <w:tc>
          <w:tcPr>
            <w:tcW w:w="992" w:type="dxa"/>
            <w:tcMar>
              <w:top w:w="100" w:type="dxa"/>
              <w:left w:w="113" w:type="dxa"/>
              <w:bottom w:w="100" w:type="dxa"/>
              <w:right w:w="113" w:type="dxa"/>
            </w:tcMar>
            <w:vAlign w:val="center"/>
          </w:tcPr>
          <w:p w14:paraId="5F2770EE" w14:textId="77777777" w:rsidR="001D5BE6" w:rsidRPr="001D5BE6" w:rsidRDefault="001D5BE6" w:rsidP="001E3AC7">
            <w:pPr>
              <w:pStyle w:val="CDITable-RowCentre"/>
            </w:pPr>
            <w:r w:rsidRPr="001D5BE6">
              <w:t>13</w:t>
            </w:r>
          </w:p>
        </w:tc>
        <w:tc>
          <w:tcPr>
            <w:tcW w:w="992" w:type="dxa"/>
            <w:tcMar>
              <w:top w:w="100" w:type="dxa"/>
              <w:left w:w="113" w:type="dxa"/>
              <w:bottom w:w="100" w:type="dxa"/>
              <w:right w:w="113" w:type="dxa"/>
            </w:tcMar>
            <w:vAlign w:val="center"/>
          </w:tcPr>
          <w:p w14:paraId="07244A42" w14:textId="77777777" w:rsidR="001D5BE6" w:rsidRPr="001D5BE6" w:rsidRDefault="001D5BE6" w:rsidP="001E3AC7">
            <w:pPr>
              <w:pStyle w:val="CDITable-RowCentre"/>
            </w:pPr>
            <w:r w:rsidRPr="001D5BE6">
              <w:t>34</w:t>
            </w:r>
          </w:p>
        </w:tc>
        <w:tc>
          <w:tcPr>
            <w:tcW w:w="993" w:type="dxa"/>
            <w:tcMar>
              <w:top w:w="100" w:type="dxa"/>
              <w:left w:w="113" w:type="dxa"/>
              <w:bottom w:w="100" w:type="dxa"/>
              <w:right w:w="113" w:type="dxa"/>
            </w:tcMar>
            <w:vAlign w:val="center"/>
          </w:tcPr>
          <w:p w14:paraId="164179C1" w14:textId="77777777" w:rsidR="001D5BE6" w:rsidRPr="001D5BE6" w:rsidRDefault="001D5BE6" w:rsidP="001E3AC7">
            <w:pPr>
              <w:pStyle w:val="CDITable-RowCentre"/>
            </w:pPr>
            <w:r w:rsidRPr="001D5BE6">
              <w:t>38.2</w:t>
            </w:r>
          </w:p>
        </w:tc>
        <w:tc>
          <w:tcPr>
            <w:tcW w:w="992" w:type="dxa"/>
            <w:tcMar>
              <w:top w:w="100" w:type="dxa"/>
              <w:left w:w="113" w:type="dxa"/>
              <w:bottom w:w="100" w:type="dxa"/>
              <w:right w:w="113" w:type="dxa"/>
            </w:tcMar>
            <w:vAlign w:val="center"/>
          </w:tcPr>
          <w:p w14:paraId="68E8A84B" w14:textId="77777777" w:rsidR="001D5BE6" w:rsidRPr="001D5BE6" w:rsidRDefault="001D5BE6" w:rsidP="001E3AC7">
            <w:pPr>
              <w:pStyle w:val="CDITable-RowCentre"/>
            </w:pPr>
            <w:r w:rsidRPr="001D5BE6">
              <w:t xml:space="preserve">1.6 </w:t>
            </w:r>
          </w:p>
        </w:tc>
        <w:tc>
          <w:tcPr>
            <w:tcW w:w="992" w:type="dxa"/>
            <w:tcMar>
              <w:top w:w="100" w:type="dxa"/>
              <w:left w:w="113" w:type="dxa"/>
              <w:bottom w:w="100" w:type="dxa"/>
              <w:right w:w="113" w:type="dxa"/>
            </w:tcMar>
            <w:vAlign w:val="center"/>
          </w:tcPr>
          <w:p w14:paraId="408D3484" w14:textId="77777777" w:rsidR="001D5BE6" w:rsidRPr="001D5BE6" w:rsidRDefault="001D5BE6" w:rsidP="001E3AC7">
            <w:pPr>
              <w:pStyle w:val="CDITable-RowCentre"/>
            </w:pPr>
            <w:r w:rsidRPr="001D5BE6">
              <w:t>0.95–2.6</w:t>
            </w:r>
          </w:p>
        </w:tc>
        <w:tc>
          <w:tcPr>
            <w:tcW w:w="992" w:type="dxa"/>
            <w:tcMar>
              <w:top w:w="100" w:type="dxa"/>
              <w:left w:w="113" w:type="dxa"/>
              <w:bottom w:w="100" w:type="dxa"/>
              <w:right w:w="113" w:type="dxa"/>
            </w:tcMar>
            <w:vAlign w:val="center"/>
          </w:tcPr>
          <w:p w14:paraId="04247BAE" w14:textId="77777777" w:rsidR="001D5BE6" w:rsidRPr="001D5BE6" w:rsidRDefault="001D5BE6" w:rsidP="001E3AC7">
            <w:pPr>
              <w:pStyle w:val="CDITable-RowCentre"/>
            </w:pPr>
            <w:r w:rsidRPr="001D5BE6">
              <w:t>0.07</w:t>
            </w:r>
          </w:p>
        </w:tc>
        <w:tc>
          <w:tcPr>
            <w:tcW w:w="992" w:type="dxa"/>
            <w:tcMar>
              <w:top w:w="100" w:type="dxa"/>
              <w:left w:w="113" w:type="dxa"/>
              <w:bottom w:w="100" w:type="dxa"/>
              <w:right w:w="113" w:type="dxa"/>
            </w:tcMar>
            <w:vAlign w:val="center"/>
          </w:tcPr>
          <w:p w14:paraId="06A97FE1" w14:textId="77777777" w:rsidR="001D5BE6" w:rsidRPr="001D5BE6" w:rsidRDefault="001D5BE6" w:rsidP="001E3AC7">
            <w:pPr>
              <w:pStyle w:val="CDITable-RowCentre"/>
            </w:pPr>
            <w:r w:rsidRPr="001D5BE6">
              <w:t>1.5</w:t>
            </w:r>
          </w:p>
        </w:tc>
        <w:tc>
          <w:tcPr>
            <w:tcW w:w="992" w:type="dxa"/>
            <w:tcMar>
              <w:top w:w="100" w:type="dxa"/>
              <w:left w:w="113" w:type="dxa"/>
              <w:bottom w:w="100" w:type="dxa"/>
              <w:right w:w="113" w:type="dxa"/>
            </w:tcMar>
            <w:vAlign w:val="center"/>
          </w:tcPr>
          <w:p w14:paraId="2F9BA106" w14:textId="77777777" w:rsidR="001D5BE6" w:rsidRPr="001D5BE6" w:rsidRDefault="001D5BE6" w:rsidP="001E3AC7">
            <w:pPr>
              <w:pStyle w:val="CDITable-RowCentre"/>
            </w:pPr>
            <w:r w:rsidRPr="001D5BE6">
              <w:t>0.8–2.9</w:t>
            </w:r>
          </w:p>
        </w:tc>
        <w:tc>
          <w:tcPr>
            <w:tcW w:w="992" w:type="dxa"/>
            <w:tcMar>
              <w:top w:w="100" w:type="dxa"/>
              <w:left w:w="113" w:type="dxa"/>
              <w:bottom w:w="100" w:type="dxa"/>
              <w:right w:w="113" w:type="dxa"/>
            </w:tcMar>
            <w:vAlign w:val="center"/>
          </w:tcPr>
          <w:p w14:paraId="007D2532" w14:textId="77777777" w:rsidR="001D5BE6" w:rsidRPr="001D5BE6" w:rsidRDefault="001D5BE6" w:rsidP="001E3AC7">
            <w:pPr>
              <w:pStyle w:val="CDITable-RowCentre"/>
            </w:pPr>
            <w:r w:rsidRPr="001D5BE6">
              <w:t>0.22</w:t>
            </w:r>
          </w:p>
        </w:tc>
      </w:tr>
      <w:tr w:rsidR="001D5BE6" w:rsidRPr="001D5BE6" w14:paraId="1E9EBFAF" w14:textId="77777777" w:rsidTr="001E3AC7">
        <w:trPr>
          <w:divId w:val="935526654"/>
          <w:trHeight w:val="20"/>
        </w:trPr>
        <w:tc>
          <w:tcPr>
            <w:tcW w:w="14343" w:type="dxa"/>
            <w:gridSpan w:val="13"/>
            <w:shd w:val="clear" w:color="auto" w:fill="C5FFEF" w:themeFill="background2" w:themeFillTint="33"/>
            <w:tcMar>
              <w:top w:w="100" w:type="dxa"/>
              <w:left w:w="113" w:type="dxa"/>
              <w:bottom w:w="100" w:type="dxa"/>
              <w:right w:w="113" w:type="dxa"/>
            </w:tcMar>
            <w:vAlign w:val="center"/>
          </w:tcPr>
          <w:p w14:paraId="52799D92" w14:textId="77777777" w:rsidR="001D5BE6" w:rsidRPr="000D1897" w:rsidRDefault="001D5BE6" w:rsidP="000D1897">
            <w:pPr>
              <w:pStyle w:val="CDITable-RowLeft"/>
              <w:rPr>
                <w:b/>
                <w:bCs/>
              </w:rPr>
            </w:pPr>
            <w:r w:rsidRPr="000D1897">
              <w:rPr>
                <w:b/>
                <w:bCs/>
              </w:rPr>
              <w:t>Sandwiches/baguettes</w:t>
            </w:r>
          </w:p>
        </w:tc>
      </w:tr>
      <w:tr w:rsidR="001D5BE6" w:rsidRPr="001D5BE6" w14:paraId="69957E0B" w14:textId="77777777" w:rsidTr="001E3AC7">
        <w:trPr>
          <w:divId w:val="935526654"/>
          <w:trHeight w:val="20"/>
        </w:trPr>
        <w:tc>
          <w:tcPr>
            <w:tcW w:w="2438" w:type="dxa"/>
            <w:tcMar>
              <w:top w:w="100" w:type="dxa"/>
              <w:left w:w="113" w:type="dxa"/>
              <w:bottom w:w="100" w:type="dxa"/>
              <w:right w:w="113" w:type="dxa"/>
            </w:tcMar>
            <w:vAlign w:val="center"/>
          </w:tcPr>
          <w:p w14:paraId="4B2C67A7" w14:textId="77777777" w:rsidR="001D5BE6" w:rsidRPr="001D5BE6" w:rsidRDefault="001D5BE6" w:rsidP="001E3AC7">
            <w:pPr>
              <w:pStyle w:val="CDITable-RowLeft"/>
            </w:pPr>
            <w:r w:rsidRPr="001D5BE6">
              <w:t>Roast beef</w:t>
            </w:r>
          </w:p>
        </w:tc>
        <w:tc>
          <w:tcPr>
            <w:tcW w:w="992" w:type="dxa"/>
            <w:tcMar>
              <w:top w:w="100" w:type="dxa"/>
              <w:left w:w="113" w:type="dxa"/>
              <w:bottom w:w="100" w:type="dxa"/>
              <w:right w:w="113" w:type="dxa"/>
            </w:tcMar>
            <w:vAlign w:val="center"/>
          </w:tcPr>
          <w:p w14:paraId="01914BA9" w14:textId="77777777" w:rsidR="001D5BE6" w:rsidRPr="001D5BE6" w:rsidRDefault="001D5BE6" w:rsidP="001E3AC7">
            <w:pPr>
              <w:pStyle w:val="CDITable-RowCentre"/>
            </w:pPr>
            <w:r w:rsidRPr="001D5BE6">
              <w:t>3</w:t>
            </w:r>
          </w:p>
        </w:tc>
        <w:tc>
          <w:tcPr>
            <w:tcW w:w="992" w:type="dxa"/>
            <w:tcMar>
              <w:top w:w="100" w:type="dxa"/>
              <w:left w:w="113" w:type="dxa"/>
              <w:bottom w:w="100" w:type="dxa"/>
              <w:right w:w="113" w:type="dxa"/>
            </w:tcMar>
            <w:vAlign w:val="center"/>
          </w:tcPr>
          <w:p w14:paraId="3E104BA4" w14:textId="77777777" w:rsidR="001D5BE6" w:rsidRPr="001D5BE6" w:rsidRDefault="001D5BE6" w:rsidP="001E3AC7">
            <w:pPr>
              <w:pStyle w:val="CDITable-RowCentre"/>
            </w:pPr>
            <w:r w:rsidRPr="001D5BE6">
              <w:t>5</w:t>
            </w:r>
          </w:p>
        </w:tc>
        <w:tc>
          <w:tcPr>
            <w:tcW w:w="992" w:type="dxa"/>
            <w:tcMar>
              <w:top w:w="100" w:type="dxa"/>
              <w:left w:w="113" w:type="dxa"/>
              <w:bottom w:w="100" w:type="dxa"/>
              <w:right w:w="113" w:type="dxa"/>
            </w:tcMar>
            <w:vAlign w:val="center"/>
          </w:tcPr>
          <w:p w14:paraId="1232A3BB" w14:textId="77777777" w:rsidR="001D5BE6" w:rsidRPr="001D5BE6" w:rsidRDefault="001D5BE6" w:rsidP="001E3AC7">
            <w:pPr>
              <w:pStyle w:val="CDITable-RowCentre"/>
            </w:pPr>
            <w:r w:rsidRPr="001D5BE6">
              <w:t>60.0</w:t>
            </w:r>
          </w:p>
        </w:tc>
        <w:tc>
          <w:tcPr>
            <w:tcW w:w="992" w:type="dxa"/>
            <w:tcMar>
              <w:top w:w="100" w:type="dxa"/>
              <w:left w:w="113" w:type="dxa"/>
              <w:bottom w:w="100" w:type="dxa"/>
              <w:right w:w="113" w:type="dxa"/>
            </w:tcMar>
            <w:vAlign w:val="center"/>
          </w:tcPr>
          <w:p w14:paraId="3BBFF102" w14:textId="77777777" w:rsidR="001D5BE6" w:rsidRPr="001D5BE6" w:rsidRDefault="001D5BE6" w:rsidP="001E3AC7">
            <w:pPr>
              <w:pStyle w:val="CDITable-RowCentre"/>
            </w:pPr>
            <w:r w:rsidRPr="001D5BE6">
              <w:t>3</w:t>
            </w:r>
          </w:p>
        </w:tc>
        <w:tc>
          <w:tcPr>
            <w:tcW w:w="992" w:type="dxa"/>
            <w:tcMar>
              <w:top w:w="100" w:type="dxa"/>
              <w:left w:w="113" w:type="dxa"/>
              <w:bottom w:w="100" w:type="dxa"/>
              <w:right w:w="113" w:type="dxa"/>
            </w:tcMar>
            <w:vAlign w:val="center"/>
          </w:tcPr>
          <w:p w14:paraId="4D8DBCC8" w14:textId="77777777" w:rsidR="001D5BE6" w:rsidRPr="001D5BE6" w:rsidRDefault="001D5BE6" w:rsidP="001E3AC7">
            <w:pPr>
              <w:pStyle w:val="CDITable-RowCentre"/>
            </w:pPr>
            <w:r w:rsidRPr="001D5BE6">
              <w:t>5</w:t>
            </w:r>
          </w:p>
        </w:tc>
        <w:tc>
          <w:tcPr>
            <w:tcW w:w="993" w:type="dxa"/>
            <w:tcMar>
              <w:top w:w="100" w:type="dxa"/>
              <w:left w:w="113" w:type="dxa"/>
              <w:bottom w:w="100" w:type="dxa"/>
              <w:right w:w="113" w:type="dxa"/>
            </w:tcMar>
            <w:vAlign w:val="center"/>
          </w:tcPr>
          <w:p w14:paraId="51902371" w14:textId="77777777" w:rsidR="001D5BE6" w:rsidRPr="001D5BE6" w:rsidRDefault="001D5BE6" w:rsidP="001E3AC7">
            <w:pPr>
              <w:pStyle w:val="CDITable-RowCentre"/>
            </w:pPr>
            <w:r w:rsidRPr="001D5BE6">
              <w:t>60.0</w:t>
            </w:r>
          </w:p>
        </w:tc>
        <w:tc>
          <w:tcPr>
            <w:tcW w:w="992" w:type="dxa"/>
            <w:tcMar>
              <w:top w:w="100" w:type="dxa"/>
              <w:left w:w="113" w:type="dxa"/>
              <w:bottom w:w="100" w:type="dxa"/>
              <w:right w:w="113" w:type="dxa"/>
            </w:tcMar>
            <w:vAlign w:val="center"/>
          </w:tcPr>
          <w:p w14:paraId="21AC7746" w14:textId="77777777" w:rsidR="001D5BE6" w:rsidRPr="001D5BE6" w:rsidRDefault="001D5BE6" w:rsidP="001E3AC7">
            <w:pPr>
              <w:pStyle w:val="CDITable-RowCentre"/>
            </w:pPr>
            <w:r w:rsidRPr="001D5BE6">
              <w:t xml:space="preserve">1.0 </w:t>
            </w:r>
          </w:p>
        </w:tc>
        <w:tc>
          <w:tcPr>
            <w:tcW w:w="992" w:type="dxa"/>
            <w:tcMar>
              <w:top w:w="100" w:type="dxa"/>
              <w:left w:w="113" w:type="dxa"/>
              <w:bottom w:w="100" w:type="dxa"/>
              <w:right w:w="113" w:type="dxa"/>
            </w:tcMar>
            <w:vAlign w:val="center"/>
          </w:tcPr>
          <w:p w14:paraId="70688E5F" w14:textId="77777777" w:rsidR="001D5BE6" w:rsidRPr="001D5BE6" w:rsidRDefault="001D5BE6" w:rsidP="001E3AC7">
            <w:pPr>
              <w:pStyle w:val="CDITable-RowCentre"/>
            </w:pPr>
            <w:r w:rsidRPr="001D5BE6">
              <w:t>0.4–2.8</w:t>
            </w:r>
          </w:p>
        </w:tc>
        <w:tc>
          <w:tcPr>
            <w:tcW w:w="992" w:type="dxa"/>
            <w:tcMar>
              <w:top w:w="100" w:type="dxa"/>
              <w:left w:w="113" w:type="dxa"/>
              <w:bottom w:w="100" w:type="dxa"/>
              <w:right w:w="113" w:type="dxa"/>
            </w:tcMar>
            <w:vAlign w:val="center"/>
          </w:tcPr>
          <w:p w14:paraId="762AB976" w14:textId="77777777" w:rsidR="001D5BE6" w:rsidRPr="001D5BE6" w:rsidRDefault="001D5BE6" w:rsidP="001E3AC7">
            <w:pPr>
              <w:pStyle w:val="CDITable-RowCentre"/>
            </w:pPr>
            <w:r w:rsidRPr="001D5BE6">
              <w:t>1</w:t>
            </w:r>
          </w:p>
        </w:tc>
        <w:tc>
          <w:tcPr>
            <w:tcW w:w="992" w:type="dxa"/>
            <w:tcMar>
              <w:top w:w="100" w:type="dxa"/>
              <w:left w:w="113" w:type="dxa"/>
              <w:bottom w:w="100" w:type="dxa"/>
              <w:right w:w="113" w:type="dxa"/>
            </w:tcMar>
            <w:vAlign w:val="center"/>
          </w:tcPr>
          <w:p w14:paraId="6019D3E2" w14:textId="77777777" w:rsidR="001D5BE6" w:rsidRPr="001D5BE6" w:rsidRDefault="001D5BE6" w:rsidP="001E3AC7">
            <w:pPr>
              <w:pStyle w:val="CDITable-RowCentre"/>
            </w:pPr>
          </w:p>
        </w:tc>
        <w:tc>
          <w:tcPr>
            <w:tcW w:w="992" w:type="dxa"/>
            <w:tcMar>
              <w:top w:w="100" w:type="dxa"/>
              <w:left w:w="113" w:type="dxa"/>
              <w:bottom w:w="100" w:type="dxa"/>
              <w:right w:w="113" w:type="dxa"/>
            </w:tcMar>
            <w:vAlign w:val="center"/>
          </w:tcPr>
          <w:p w14:paraId="59E27438" w14:textId="77777777" w:rsidR="001D5BE6" w:rsidRPr="001D5BE6" w:rsidRDefault="001D5BE6" w:rsidP="001E3AC7">
            <w:pPr>
              <w:pStyle w:val="CDITable-RowCentre"/>
            </w:pPr>
          </w:p>
        </w:tc>
        <w:tc>
          <w:tcPr>
            <w:tcW w:w="992" w:type="dxa"/>
            <w:tcMar>
              <w:top w:w="100" w:type="dxa"/>
              <w:left w:w="113" w:type="dxa"/>
              <w:bottom w:w="100" w:type="dxa"/>
              <w:right w:w="113" w:type="dxa"/>
            </w:tcMar>
            <w:vAlign w:val="center"/>
          </w:tcPr>
          <w:p w14:paraId="5F91707E" w14:textId="77777777" w:rsidR="001D5BE6" w:rsidRPr="001D5BE6" w:rsidRDefault="001D5BE6" w:rsidP="001E3AC7">
            <w:pPr>
              <w:pStyle w:val="CDITable-RowCentre"/>
            </w:pPr>
          </w:p>
        </w:tc>
      </w:tr>
      <w:tr w:rsidR="001D5BE6" w:rsidRPr="001D5BE6" w14:paraId="0B8A5357" w14:textId="77777777" w:rsidTr="001E3AC7">
        <w:trPr>
          <w:divId w:val="935526654"/>
          <w:trHeight w:val="20"/>
        </w:trPr>
        <w:tc>
          <w:tcPr>
            <w:tcW w:w="2438" w:type="dxa"/>
            <w:tcMar>
              <w:top w:w="100" w:type="dxa"/>
              <w:left w:w="113" w:type="dxa"/>
              <w:bottom w:w="100" w:type="dxa"/>
              <w:right w:w="113" w:type="dxa"/>
            </w:tcMar>
            <w:vAlign w:val="center"/>
          </w:tcPr>
          <w:p w14:paraId="271157E5" w14:textId="77777777" w:rsidR="001D5BE6" w:rsidRPr="001D5BE6" w:rsidRDefault="001D5BE6" w:rsidP="001E3AC7">
            <w:pPr>
              <w:pStyle w:val="CDITable-RowLeft"/>
            </w:pPr>
            <w:r w:rsidRPr="001D5BE6">
              <w:t xml:space="preserve">Roast </w:t>
            </w:r>
            <w:proofErr w:type="spellStart"/>
            <w:r w:rsidRPr="001D5BE6">
              <w:t>vegetable</w:t>
            </w:r>
            <w:r w:rsidRPr="001E3AC7">
              <w:rPr>
                <w:vertAlign w:val="superscript"/>
              </w:rPr>
              <w:t>b</w:t>
            </w:r>
            <w:proofErr w:type="spellEnd"/>
          </w:p>
        </w:tc>
        <w:tc>
          <w:tcPr>
            <w:tcW w:w="992" w:type="dxa"/>
            <w:tcMar>
              <w:top w:w="100" w:type="dxa"/>
              <w:left w:w="113" w:type="dxa"/>
              <w:bottom w:w="100" w:type="dxa"/>
              <w:right w:w="113" w:type="dxa"/>
            </w:tcMar>
            <w:vAlign w:val="center"/>
          </w:tcPr>
          <w:p w14:paraId="5F65B53F" w14:textId="77777777" w:rsidR="001D5BE6" w:rsidRPr="001D5BE6" w:rsidRDefault="001D5BE6" w:rsidP="001E3AC7">
            <w:pPr>
              <w:pStyle w:val="CDITable-RowCentre"/>
            </w:pPr>
            <w:r w:rsidRPr="001D5BE6">
              <w:t>4</w:t>
            </w:r>
          </w:p>
        </w:tc>
        <w:tc>
          <w:tcPr>
            <w:tcW w:w="992" w:type="dxa"/>
            <w:tcMar>
              <w:top w:w="100" w:type="dxa"/>
              <w:left w:w="113" w:type="dxa"/>
              <w:bottom w:w="100" w:type="dxa"/>
              <w:right w:w="113" w:type="dxa"/>
            </w:tcMar>
            <w:vAlign w:val="center"/>
          </w:tcPr>
          <w:p w14:paraId="5BE70F8C" w14:textId="77777777" w:rsidR="001D5BE6" w:rsidRPr="001D5BE6" w:rsidRDefault="001D5BE6" w:rsidP="001E3AC7">
            <w:pPr>
              <w:pStyle w:val="CDITable-RowCentre"/>
            </w:pPr>
            <w:r w:rsidRPr="001D5BE6">
              <w:t>4</w:t>
            </w:r>
          </w:p>
        </w:tc>
        <w:tc>
          <w:tcPr>
            <w:tcW w:w="992" w:type="dxa"/>
            <w:tcMar>
              <w:top w:w="100" w:type="dxa"/>
              <w:left w:w="113" w:type="dxa"/>
              <w:bottom w:w="100" w:type="dxa"/>
              <w:right w:w="113" w:type="dxa"/>
            </w:tcMar>
            <w:vAlign w:val="center"/>
          </w:tcPr>
          <w:p w14:paraId="4A4C49A5" w14:textId="77777777" w:rsidR="001D5BE6" w:rsidRPr="001D5BE6" w:rsidRDefault="001D5BE6" w:rsidP="001E3AC7">
            <w:pPr>
              <w:pStyle w:val="CDITable-RowCentre"/>
            </w:pPr>
            <w:r w:rsidRPr="001D5BE6">
              <w:t>100.0</w:t>
            </w:r>
          </w:p>
        </w:tc>
        <w:tc>
          <w:tcPr>
            <w:tcW w:w="992" w:type="dxa"/>
            <w:tcMar>
              <w:top w:w="100" w:type="dxa"/>
              <w:left w:w="113" w:type="dxa"/>
              <w:bottom w:w="100" w:type="dxa"/>
              <w:right w:w="113" w:type="dxa"/>
            </w:tcMar>
            <w:vAlign w:val="center"/>
          </w:tcPr>
          <w:p w14:paraId="6BB22C56" w14:textId="77777777" w:rsidR="001D5BE6" w:rsidRPr="001D5BE6" w:rsidRDefault="001D5BE6" w:rsidP="001E3AC7">
            <w:pPr>
              <w:pStyle w:val="CDITable-RowCentre"/>
            </w:pPr>
            <w:r w:rsidRPr="001D5BE6">
              <w:t>2</w:t>
            </w:r>
          </w:p>
        </w:tc>
        <w:tc>
          <w:tcPr>
            <w:tcW w:w="992" w:type="dxa"/>
            <w:tcMar>
              <w:top w:w="100" w:type="dxa"/>
              <w:left w:w="113" w:type="dxa"/>
              <w:bottom w:w="100" w:type="dxa"/>
              <w:right w:w="113" w:type="dxa"/>
            </w:tcMar>
            <w:vAlign w:val="center"/>
          </w:tcPr>
          <w:p w14:paraId="2D5BC093" w14:textId="77777777" w:rsidR="001D5BE6" w:rsidRPr="001D5BE6" w:rsidRDefault="001D5BE6" w:rsidP="001E3AC7">
            <w:pPr>
              <w:pStyle w:val="CDITable-RowCentre"/>
            </w:pPr>
            <w:r w:rsidRPr="001D5BE6">
              <w:t>6</w:t>
            </w:r>
          </w:p>
        </w:tc>
        <w:tc>
          <w:tcPr>
            <w:tcW w:w="993" w:type="dxa"/>
            <w:tcMar>
              <w:top w:w="100" w:type="dxa"/>
              <w:left w:w="113" w:type="dxa"/>
              <w:bottom w:w="100" w:type="dxa"/>
              <w:right w:w="113" w:type="dxa"/>
            </w:tcMar>
            <w:vAlign w:val="center"/>
          </w:tcPr>
          <w:p w14:paraId="33F79F72" w14:textId="77777777" w:rsidR="001D5BE6" w:rsidRPr="001D5BE6" w:rsidRDefault="001D5BE6" w:rsidP="001E3AC7">
            <w:pPr>
              <w:pStyle w:val="CDITable-RowCentre"/>
            </w:pPr>
            <w:r w:rsidRPr="001D5BE6">
              <w:t>33.3</w:t>
            </w:r>
          </w:p>
        </w:tc>
        <w:tc>
          <w:tcPr>
            <w:tcW w:w="992" w:type="dxa"/>
            <w:tcMar>
              <w:top w:w="100" w:type="dxa"/>
              <w:left w:w="113" w:type="dxa"/>
              <w:bottom w:w="100" w:type="dxa"/>
              <w:right w:w="113" w:type="dxa"/>
            </w:tcMar>
            <w:vAlign w:val="center"/>
          </w:tcPr>
          <w:p w14:paraId="3DAC9C4D" w14:textId="77777777" w:rsidR="001D5BE6" w:rsidRPr="001D5BE6" w:rsidRDefault="001D5BE6" w:rsidP="001E3AC7">
            <w:pPr>
              <w:pStyle w:val="CDITable-RowCentre"/>
            </w:pPr>
            <w:r w:rsidRPr="001D5BE6">
              <w:t xml:space="preserve">3.0 </w:t>
            </w:r>
          </w:p>
        </w:tc>
        <w:tc>
          <w:tcPr>
            <w:tcW w:w="992" w:type="dxa"/>
            <w:tcMar>
              <w:top w:w="100" w:type="dxa"/>
              <w:left w:w="113" w:type="dxa"/>
              <w:bottom w:w="100" w:type="dxa"/>
              <w:right w:w="113" w:type="dxa"/>
            </w:tcMar>
            <w:vAlign w:val="center"/>
          </w:tcPr>
          <w:p w14:paraId="21F4FF2E" w14:textId="77777777" w:rsidR="001D5BE6" w:rsidRPr="001D5BE6" w:rsidRDefault="001D5BE6" w:rsidP="001E3AC7">
            <w:pPr>
              <w:pStyle w:val="CDITable-RowCentre"/>
            </w:pPr>
            <w:r w:rsidRPr="001D5BE6">
              <w:t>0.97–9.3</w:t>
            </w:r>
          </w:p>
        </w:tc>
        <w:tc>
          <w:tcPr>
            <w:tcW w:w="992" w:type="dxa"/>
            <w:tcMar>
              <w:top w:w="100" w:type="dxa"/>
              <w:left w:w="113" w:type="dxa"/>
              <w:bottom w:w="100" w:type="dxa"/>
              <w:right w:w="113" w:type="dxa"/>
            </w:tcMar>
            <w:vAlign w:val="center"/>
          </w:tcPr>
          <w:p w14:paraId="4EEE4CF2" w14:textId="77777777" w:rsidR="001D5BE6" w:rsidRPr="001D5BE6" w:rsidRDefault="001D5BE6" w:rsidP="001E3AC7">
            <w:pPr>
              <w:pStyle w:val="CDITable-RowCentre"/>
            </w:pPr>
            <w:r w:rsidRPr="001D5BE6">
              <w:t>0.08</w:t>
            </w:r>
          </w:p>
        </w:tc>
        <w:tc>
          <w:tcPr>
            <w:tcW w:w="992" w:type="dxa"/>
            <w:tcMar>
              <w:top w:w="100" w:type="dxa"/>
              <w:left w:w="113" w:type="dxa"/>
              <w:bottom w:w="100" w:type="dxa"/>
              <w:right w:w="113" w:type="dxa"/>
            </w:tcMar>
            <w:vAlign w:val="center"/>
          </w:tcPr>
          <w:p w14:paraId="270AB376" w14:textId="77777777" w:rsidR="001D5BE6" w:rsidRPr="001D5BE6" w:rsidRDefault="001D5BE6" w:rsidP="001E3AC7">
            <w:pPr>
              <w:pStyle w:val="CDITable-RowCentre"/>
            </w:pPr>
          </w:p>
        </w:tc>
        <w:tc>
          <w:tcPr>
            <w:tcW w:w="992" w:type="dxa"/>
            <w:tcMar>
              <w:top w:w="100" w:type="dxa"/>
              <w:left w:w="113" w:type="dxa"/>
              <w:bottom w:w="100" w:type="dxa"/>
              <w:right w:w="113" w:type="dxa"/>
            </w:tcMar>
            <w:vAlign w:val="center"/>
          </w:tcPr>
          <w:p w14:paraId="60937DA6" w14:textId="77777777" w:rsidR="001D5BE6" w:rsidRPr="001D5BE6" w:rsidRDefault="001D5BE6" w:rsidP="001E3AC7">
            <w:pPr>
              <w:pStyle w:val="CDITable-RowCentre"/>
            </w:pPr>
          </w:p>
        </w:tc>
        <w:tc>
          <w:tcPr>
            <w:tcW w:w="992" w:type="dxa"/>
            <w:tcMar>
              <w:top w:w="100" w:type="dxa"/>
              <w:left w:w="113" w:type="dxa"/>
              <w:bottom w:w="100" w:type="dxa"/>
              <w:right w:w="113" w:type="dxa"/>
            </w:tcMar>
            <w:vAlign w:val="center"/>
          </w:tcPr>
          <w:p w14:paraId="15482399" w14:textId="77777777" w:rsidR="001D5BE6" w:rsidRPr="001D5BE6" w:rsidRDefault="001D5BE6" w:rsidP="001E3AC7">
            <w:pPr>
              <w:pStyle w:val="CDITable-RowCentre"/>
            </w:pPr>
          </w:p>
        </w:tc>
      </w:tr>
      <w:tr w:rsidR="001D5BE6" w:rsidRPr="001D5BE6" w14:paraId="2C2D9053" w14:textId="77777777" w:rsidTr="001E3AC7">
        <w:trPr>
          <w:divId w:val="935526654"/>
          <w:trHeight w:val="20"/>
        </w:trPr>
        <w:tc>
          <w:tcPr>
            <w:tcW w:w="2438" w:type="dxa"/>
            <w:tcMar>
              <w:top w:w="100" w:type="dxa"/>
              <w:left w:w="113" w:type="dxa"/>
              <w:bottom w:w="100" w:type="dxa"/>
              <w:right w:w="113" w:type="dxa"/>
            </w:tcMar>
            <w:vAlign w:val="center"/>
          </w:tcPr>
          <w:p w14:paraId="54ABF145" w14:textId="77777777" w:rsidR="001D5BE6" w:rsidRPr="001D5BE6" w:rsidRDefault="001D5BE6" w:rsidP="001E3AC7">
            <w:pPr>
              <w:pStyle w:val="CDITable-RowLeft"/>
            </w:pPr>
            <w:r w:rsidRPr="001D5BE6">
              <w:t>Ham, cheese and tomato</w:t>
            </w:r>
          </w:p>
        </w:tc>
        <w:tc>
          <w:tcPr>
            <w:tcW w:w="992" w:type="dxa"/>
            <w:tcMar>
              <w:top w:w="100" w:type="dxa"/>
              <w:left w:w="113" w:type="dxa"/>
              <w:bottom w:w="100" w:type="dxa"/>
              <w:right w:w="113" w:type="dxa"/>
            </w:tcMar>
            <w:vAlign w:val="center"/>
          </w:tcPr>
          <w:p w14:paraId="6353B48A" w14:textId="77777777" w:rsidR="001D5BE6" w:rsidRPr="001D5BE6" w:rsidRDefault="001D5BE6" w:rsidP="001E3AC7">
            <w:pPr>
              <w:pStyle w:val="CDITable-RowCentre"/>
            </w:pPr>
            <w:r w:rsidRPr="001D5BE6">
              <w:t>5</w:t>
            </w:r>
          </w:p>
        </w:tc>
        <w:tc>
          <w:tcPr>
            <w:tcW w:w="992" w:type="dxa"/>
            <w:tcMar>
              <w:top w:w="100" w:type="dxa"/>
              <w:left w:w="113" w:type="dxa"/>
              <w:bottom w:w="100" w:type="dxa"/>
              <w:right w:w="113" w:type="dxa"/>
            </w:tcMar>
            <w:vAlign w:val="center"/>
          </w:tcPr>
          <w:p w14:paraId="1D41EF1F" w14:textId="77777777" w:rsidR="001D5BE6" w:rsidRPr="001D5BE6" w:rsidRDefault="001D5BE6" w:rsidP="001E3AC7">
            <w:pPr>
              <w:pStyle w:val="CDITable-RowCentre"/>
            </w:pPr>
            <w:r w:rsidRPr="001D5BE6">
              <w:t>7</w:t>
            </w:r>
          </w:p>
        </w:tc>
        <w:tc>
          <w:tcPr>
            <w:tcW w:w="992" w:type="dxa"/>
            <w:tcMar>
              <w:top w:w="100" w:type="dxa"/>
              <w:left w:w="113" w:type="dxa"/>
              <w:bottom w:w="100" w:type="dxa"/>
              <w:right w:w="113" w:type="dxa"/>
            </w:tcMar>
            <w:vAlign w:val="center"/>
          </w:tcPr>
          <w:p w14:paraId="057F3BB3" w14:textId="77777777" w:rsidR="001D5BE6" w:rsidRPr="001D5BE6" w:rsidRDefault="001D5BE6" w:rsidP="001E3AC7">
            <w:pPr>
              <w:pStyle w:val="CDITable-RowCentre"/>
            </w:pPr>
            <w:r w:rsidRPr="001D5BE6">
              <w:t>71.4</w:t>
            </w:r>
          </w:p>
        </w:tc>
        <w:tc>
          <w:tcPr>
            <w:tcW w:w="992" w:type="dxa"/>
            <w:tcMar>
              <w:top w:w="100" w:type="dxa"/>
              <w:left w:w="113" w:type="dxa"/>
              <w:bottom w:w="100" w:type="dxa"/>
              <w:right w:w="113" w:type="dxa"/>
            </w:tcMar>
            <w:vAlign w:val="center"/>
          </w:tcPr>
          <w:p w14:paraId="7D2207C8" w14:textId="77777777" w:rsidR="001D5BE6" w:rsidRPr="001D5BE6" w:rsidRDefault="001D5BE6" w:rsidP="001E3AC7">
            <w:pPr>
              <w:pStyle w:val="CDITable-RowCentre"/>
            </w:pPr>
            <w:r w:rsidRPr="001D5BE6">
              <w:t>1</w:t>
            </w:r>
          </w:p>
        </w:tc>
        <w:tc>
          <w:tcPr>
            <w:tcW w:w="992" w:type="dxa"/>
            <w:tcMar>
              <w:top w:w="100" w:type="dxa"/>
              <w:left w:w="113" w:type="dxa"/>
              <w:bottom w:w="100" w:type="dxa"/>
              <w:right w:w="113" w:type="dxa"/>
            </w:tcMar>
            <w:vAlign w:val="center"/>
          </w:tcPr>
          <w:p w14:paraId="1D9187FB" w14:textId="77777777" w:rsidR="001D5BE6" w:rsidRPr="001D5BE6" w:rsidRDefault="001D5BE6" w:rsidP="001E3AC7">
            <w:pPr>
              <w:pStyle w:val="CDITable-RowCentre"/>
            </w:pPr>
            <w:r w:rsidRPr="001D5BE6">
              <w:t>3</w:t>
            </w:r>
          </w:p>
        </w:tc>
        <w:tc>
          <w:tcPr>
            <w:tcW w:w="993" w:type="dxa"/>
            <w:tcMar>
              <w:top w:w="100" w:type="dxa"/>
              <w:left w:w="113" w:type="dxa"/>
              <w:bottom w:w="100" w:type="dxa"/>
              <w:right w:w="113" w:type="dxa"/>
            </w:tcMar>
            <w:vAlign w:val="center"/>
          </w:tcPr>
          <w:p w14:paraId="731A79A1" w14:textId="77777777" w:rsidR="001D5BE6" w:rsidRPr="001D5BE6" w:rsidRDefault="001D5BE6" w:rsidP="001E3AC7">
            <w:pPr>
              <w:pStyle w:val="CDITable-RowCentre"/>
            </w:pPr>
            <w:r w:rsidRPr="001D5BE6">
              <w:t>33.3</w:t>
            </w:r>
          </w:p>
        </w:tc>
        <w:tc>
          <w:tcPr>
            <w:tcW w:w="992" w:type="dxa"/>
            <w:tcMar>
              <w:top w:w="100" w:type="dxa"/>
              <w:left w:w="113" w:type="dxa"/>
              <w:bottom w:w="100" w:type="dxa"/>
              <w:right w:w="113" w:type="dxa"/>
            </w:tcMar>
            <w:vAlign w:val="center"/>
          </w:tcPr>
          <w:p w14:paraId="59B90056" w14:textId="77777777" w:rsidR="001D5BE6" w:rsidRPr="001D5BE6" w:rsidRDefault="001D5BE6" w:rsidP="001E3AC7">
            <w:pPr>
              <w:pStyle w:val="CDITable-RowCentre"/>
            </w:pPr>
            <w:r w:rsidRPr="001D5BE6">
              <w:t xml:space="preserve">2.1 </w:t>
            </w:r>
          </w:p>
        </w:tc>
        <w:tc>
          <w:tcPr>
            <w:tcW w:w="992" w:type="dxa"/>
            <w:tcMar>
              <w:top w:w="100" w:type="dxa"/>
              <w:left w:w="113" w:type="dxa"/>
              <w:bottom w:w="100" w:type="dxa"/>
              <w:right w:w="113" w:type="dxa"/>
            </w:tcMar>
            <w:vAlign w:val="center"/>
          </w:tcPr>
          <w:p w14:paraId="294EBDFB" w14:textId="77777777" w:rsidR="001D5BE6" w:rsidRPr="001D5BE6" w:rsidRDefault="001D5BE6" w:rsidP="001E3AC7">
            <w:pPr>
              <w:pStyle w:val="CDITable-RowCentre"/>
            </w:pPr>
            <w:r w:rsidRPr="001D5BE6">
              <w:t>0.4–11.4</w:t>
            </w:r>
          </w:p>
        </w:tc>
        <w:tc>
          <w:tcPr>
            <w:tcW w:w="992" w:type="dxa"/>
            <w:tcMar>
              <w:top w:w="100" w:type="dxa"/>
              <w:left w:w="113" w:type="dxa"/>
              <w:bottom w:w="100" w:type="dxa"/>
              <w:right w:w="113" w:type="dxa"/>
            </w:tcMar>
            <w:vAlign w:val="center"/>
          </w:tcPr>
          <w:p w14:paraId="4CDB1EC0" w14:textId="77777777" w:rsidR="001D5BE6" w:rsidRPr="001D5BE6" w:rsidRDefault="001D5BE6" w:rsidP="001E3AC7">
            <w:pPr>
              <w:pStyle w:val="CDITable-RowCentre"/>
            </w:pPr>
            <w:r w:rsidRPr="001D5BE6">
              <w:t>0.50</w:t>
            </w:r>
          </w:p>
        </w:tc>
        <w:tc>
          <w:tcPr>
            <w:tcW w:w="992" w:type="dxa"/>
            <w:tcMar>
              <w:top w:w="100" w:type="dxa"/>
              <w:left w:w="113" w:type="dxa"/>
              <w:bottom w:w="100" w:type="dxa"/>
              <w:right w:w="113" w:type="dxa"/>
            </w:tcMar>
            <w:vAlign w:val="center"/>
          </w:tcPr>
          <w:p w14:paraId="0D377A0E" w14:textId="77777777" w:rsidR="001D5BE6" w:rsidRPr="001D5BE6" w:rsidRDefault="001D5BE6" w:rsidP="001E3AC7">
            <w:pPr>
              <w:pStyle w:val="CDITable-RowCentre"/>
            </w:pPr>
          </w:p>
        </w:tc>
        <w:tc>
          <w:tcPr>
            <w:tcW w:w="992" w:type="dxa"/>
            <w:tcMar>
              <w:top w:w="100" w:type="dxa"/>
              <w:left w:w="113" w:type="dxa"/>
              <w:bottom w:w="100" w:type="dxa"/>
              <w:right w:w="113" w:type="dxa"/>
            </w:tcMar>
            <w:vAlign w:val="center"/>
          </w:tcPr>
          <w:p w14:paraId="24521772" w14:textId="77777777" w:rsidR="001D5BE6" w:rsidRPr="001D5BE6" w:rsidRDefault="001D5BE6" w:rsidP="001E3AC7">
            <w:pPr>
              <w:pStyle w:val="CDITable-RowCentre"/>
            </w:pPr>
          </w:p>
        </w:tc>
        <w:tc>
          <w:tcPr>
            <w:tcW w:w="992" w:type="dxa"/>
            <w:tcMar>
              <w:top w:w="100" w:type="dxa"/>
              <w:left w:w="113" w:type="dxa"/>
              <w:bottom w:w="100" w:type="dxa"/>
              <w:right w:w="113" w:type="dxa"/>
            </w:tcMar>
            <w:vAlign w:val="center"/>
          </w:tcPr>
          <w:p w14:paraId="7C5A3844" w14:textId="77777777" w:rsidR="001D5BE6" w:rsidRPr="001D5BE6" w:rsidRDefault="001D5BE6" w:rsidP="001E3AC7">
            <w:pPr>
              <w:pStyle w:val="CDITable-RowCentre"/>
            </w:pPr>
          </w:p>
        </w:tc>
      </w:tr>
      <w:tr w:rsidR="001D5BE6" w:rsidRPr="001D5BE6" w14:paraId="7D756E73" w14:textId="77777777" w:rsidTr="001E3AC7">
        <w:trPr>
          <w:divId w:val="935526654"/>
          <w:trHeight w:val="20"/>
        </w:trPr>
        <w:tc>
          <w:tcPr>
            <w:tcW w:w="2438" w:type="dxa"/>
            <w:tcMar>
              <w:top w:w="100" w:type="dxa"/>
              <w:left w:w="113" w:type="dxa"/>
              <w:bottom w:w="100" w:type="dxa"/>
              <w:right w:w="113" w:type="dxa"/>
            </w:tcMar>
            <w:vAlign w:val="center"/>
          </w:tcPr>
          <w:p w14:paraId="6B06914C" w14:textId="77777777" w:rsidR="001D5BE6" w:rsidRPr="001D5BE6" w:rsidRDefault="001D5BE6" w:rsidP="001E3AC7">
            <w:pPr>
              <w:pStyle w:val="CDITable-RowLeft"/>
            </w:pPr>
            <w:r w:rsidRPr="001D5BE6">
              <w:t xml:space="preserve">Chicken </w:t>
            </w:r>
          </w:p>
        </w:tc>
        <w:tc>
          <w:tcPr>
            <w:tcW w:w="992" w:type="dxa"/>
            <w:tcMar>
              <w:top w:w="100" w:type="dxa"/>
              <w:left w:w="113" w:type="dxa"/>
              <w:bottom w:w="100" w:type="dxa"/>
              <w:right w:w="113" w:type="dxa"/>
            </w:tcMar>
            <w:vAlign w:val="center"/>
          </w:tcPr>
          <w:p w14:paraId="760105F2" w14:textId="77777777" w:rsidR="001D5BE6" w:rsidRPr="001D5BE6" w:rsidRDefault="001D5BE6" w:rsidP="001E3AC7">
            <w:pPr>
              <w:pStyle w:val="CDITable-RowCentre"/>
            </w:pPr>
            <w:r w:rsidRPr="001D5BE6">
              <w:t>5</w:t>
            </w:r>
          </w:p>
        </w:tc>
        <w:tc>
          <w:tcPr>
            <w:tcW w:w="992" w:type="dxa"/>
            <w:tcMar>
              <w:top w:w="100" w:type="dxa"/>
              <w:left w:w="113" w:type="dxa"/>
              <w:bottom w:w="100" w:type="dxa"/>
              <w:right w:w="113" w:type="dxa"/>
            </w:tcMar>
            <w:vAlign w:val="center"/>
          </w:tcPr>
          <w:p w14:paraId="204E0024" w14:textId="77777777" w:rsidR="001D5BE6" w:rsidRPr="001D5BE6" w:rsidRDefault="001D5BE6" w:rsidP="001E3AC7">
            <w:pPr>
              <w:pStyle w:val="CDITable-RowCentre"/>
            </w:pPr>
            <w:r w:rsidRPr="001D5BE6">
              <w:t>9</w:t>
            </w:r>
          </w:p>
        </w:tc>
        <w:tc>
          <w:tcPr>
            <w:tcW w:w="992" w:type="dxa"/>
            <w:tcMar>
              <w:top w:w="100" w:type="dxa"/>
              <w:left w:w="113" w:type="dxa"/>
              <w:bottom w:w="100" w:type="dxa"/>
              <w:right w:w="113" w:type="dxa"/>
            </w:tcMar>
            <w:vAlign w:val="center"/>
          </w:tcPr>
          <w:p w14:paraId="6B6815DB" w14:textId="77777777" w:rsidR="001D5BE6" w:rsidRPr="001D5BE6" w:rsidRDefault="001D5BE6" w:rsidP="001E3AC7">
            <w:pPr>
              <w:pStyle w:val="CDITable-RowCentre"/>
            </w:pPr>
            <w:r w:rsidRPr="001D5BE6">
              <w:t>55.6</w:t>
            </w:r>
          </w:p>
        </w:tc>
        <w:tc>
          <w:tcPr>
            <w:tcW w:w="992" w:type="dxa"/>
            <w:tcMar>
              <w:top w:w="100" w:type="dxa"/>
              <w:left w:w="113" w:type="dxa"/>
              <w:bottom w:w="100" w:type="dxa"/>
              <w:right w:w="113" w:type="dxa"/>
            </w:tcMar>
            <w:vAlign w:val="center"/>
          </w:tcPr>
          <w:p w14:paraId="131B55EB" w14:textId="77777777" w:rsidR="001D5BE6" w:rsidRPr="001D5BE6" w:rsidRDefault="001D5BE6" w:rsidP="001E3AC7">
            <w:pPr>
              <w:pStyle w:val="CDITable-RowCentre"/>
            </w:pPr>
            <w:r w:rsidRPr="001D5BE6">
              <w:t>1</w:t>
            </w:r>
          </w:p>
        </w:tc>
        <w:tc>
          <w:tcPr>
            <w:tcW w:w="992" w:type="dxa"/>
            <w:tcMar>
              <w:top w:w="100" w:type="dxa"/>
              <w:left w:w="113" w:type="dxa"/>
              <w:bottom w:w="100" w:type="dxa"/>
              <w:right w:w="113" w:type="dxa"/>
            </w:tcMar>
            <w:vAlign w:val="center"/>
          </w:tcPr>
          <w:p w14:paraId="1ABBC674" w14:textId="77777777" w:rsidR="001D5BE6" w:rsidRPr="001D5BE6" w:rsidRDefault="001D5BE6" w:rsidP="001E3AC7">
            <w:pPr>
              <w:pStyle w:val="CDITable-RowCentre"/>
            </w:pPr>
            <w:r w:rsidRPr="001D5BE6">
              <w:t>1</w:t>
            </w:r>
          </w:p>
        </w:tc>
        <w:tc>
          <w:tcPr>
            <w:tcW w:w="993" w:type="dxa"/>
            <w:tcMar>
              <w:top w:w="100" w:type="dxa"/>
              <w:left w:w="113" w:type="dxa"/>
              <w:bottom w:w="100" w:type="dxa"/>
              <w:right w:w="113" w:type="dxa"/>
            </w:tcMar>
            <w:vAlign w:val="center"/>
          </w:tcPr>
          <w:p w14:paraId="30B91ED1" w14:textId="77777777" w:rsidR="001D5BE6" w:rsidRPr="001D5BE6" w:rsidRDefault="001D5BE6" w:rsidP="001E3AC7">
            <w:pPr>
              <w:pStyle w:val="CDITable-RowCentre"/>
            </w:pPr>
            <w:r w:rsidRPr="001D5BE6">
              <w:t>100.0</w:t>
            </w:r>
          </w:p>
        </w:tc>
        <w:tc>
          <w:tcPr>
            <w:tcW w:w="992" w:type="dxa"/>
            <w:tcMar>
              <w:top w:w="100" w:type="dxa"/>
              <w:left w:w="113" w:type="dxa"/>
              <w:bottom w:w="100" w:type="dxa"/>
              <w:right w:w="113" w:type="dxa"/>
            </w:tcMar>
            <w:vAlign w:val="center"/>
          </w:tcPr>
          <w:p w14:paraId="48E00720" w14:textId="77777777" w:rsidR="001D5BE6" w:rsidRPr="001D5BE6" w:rsidRDefault="001D5BE6" w:rsidP="001E3AC7">
            <w:pPr>
              <w:pStyle w:val="CDITable-RowCentre"/>
            </w:pPr>
            <w:r w:rsidRPr="001D5BE6">
              <w:t xml:space="preserve">0.6 </w:t>
            </w:r>
          </w:p>
        </w:tc>
        <w:tc>
          <w:tcPr>
            <w:tcW w:w="992" w:type="dxa"/>
            <w:tcMar>
              <w:top w:w="100" w:type="dxa"/>
              <w:left w:w="113" w:type="dxa"/>
              <w:bottom w:w="100" w:type="dxa"/>
              <w:right w:w="113" w:type="dxa"/>
            </w:tcMar>
            <w:vAlign w:val="center"/>
          </w:tcPr>
          <w:p w14:paraId="557E303D" w14:textId="77777777" w:rsidR="001D5BE6" w:rsidRPr="001D5BE6" w:rsidRDefault="001D5BE6" w:rsidP="001E3AC7">
            <w:pPr>
              <w:pStyle w:val="CDITable-RowCentre"/>
            </w:pPr>
            <w:r w:rsidRPr="001D5BE6">
              <w:t>0.3–1.0</w:t>
            </w:r>
          </w:p>
        </w:tc>
        <w:tc>
          <w:tcPr>
            <w:tcW w:w="992" w:type="dxa"/>
            <w:tcMar>
              <w:top w:w="100" w:type="dxa"/>
              <w:left w:w="113" w:type="dxa"/>
              <w:bottom w:w="100" w:type="dxa"/>
              <w:right w:w="113" w:type="dxa"/>
            </w:tcMar>
            <w:vAlign w:val="center"/>
          </w:tcPr>
          <w:p w14:paraId="650D774A" w14:textId="77777777" w:rsidR="001D5BE6" w:rsidRPr="001D5BE6" w:rsidRDefault="001D5BE6" w:rsidP="001E3AC7">
            <w:pPr>
              <w:pStyle w:val="CDITable-RowCentre"/>
            </w:pPr>
            <w:r w:rsidRPr="001D5BE6">
              <w:t>1</w:t>
            </w:r>
          </w:p>
        </w:tc>
        <w:tc>
          <w:tcPr>
            <w:tcW w:w="992" w:type="dxa"/>
            <w:tcMar>
              <w:top w:w="100" w:type="dxa"/>
              <w:left w:w="113" w:type="dxa"/>
              <w:bottom w:w="100" w:type="dxa"/>
              <w:right w:w="113" w:type="dxa"/>
            </w:tcMar>
            <w:vAlign w:val="center"/>
          </w:tcPr>
          <w:p w14:paraId="50A637A2" w14:textId="77777777" w:rsidR="001D5BE6" w:rsidRPr="001D5BE6" w:rsidRDefault="001D5BE6" w:rsidP="001E3AC7">
            <w:pPr>
              <w:pStyle w:val="CDITable-RowCentre"/>
            </w:pPr>
          </w:p>
        </w:tc>
        <w:tc>
          <w:tcPr>
            <w:tcW w:w="992" w:type="dxa"/>
            <w:tcMar>
              <w:top w:w="100" w:type="dxa"/>
              <w:left w:w="113" w:type="dxa"/>
              <w:bottom w:w="100" w:type="dxa"/>
              <w:right w:w="113" w:type="dxa"/>
            </w:tcMar>
            <w:vAlign w:val="center"/>
          </w:tcPr>
          <w:p w14:paraId="13B13552" w14:textId="77777777" w:rsidR="001D5BE6" w:rsidRPr="001D5BE6" w:rsidRDefault="001D5BE6" w:rsidP="001E3AC7">
            <w:pPr>
              <w:pStyle w:val="CDITable-RowCentre"/>
            </w:pPr>
          </w:p>
        </w:tc>
        <w:tc>
          <w:tcPr>
            <w:tcW w:w="992" w:type="dxa"/>
            <w:tcMar>
              <w:top w:w="100" w:type="dxa"/>
              <w:left w:w="113" w:type="dxa"/>
              <w:bottom w:w="100" w:type="dxa"/>
              <w:right w:w="113" w:type="dxa"/>
            </w:tcMar>
            <w:vAlign w:val="center"/>
          </w:tcPr>
          <w:p w14:paraId="10573ABF" w14:textId="77777777" w:rsidR="001D5BE6" w:rsidRPr="001D5BE6" w:rsidRDefault="001D5BE6" w:rsidP="001E3AC7">
            <w:pPr>
              <w:pStyle w:val="CDITable-RowCentre"/>
            </w:pPr>
          </w:p>
        </w:tc>
      </w:tr>
      <w:tr w:rsidR="001D5BE6" w:rsidRPr="001D5BE6" w14:paraId="14C0B4AC" w14:textId="77777777" w:rsidTr="001E3AC7">
        <w:trPr>
          <w:divId w:val="935526654"/>
          <w:trHeight w:val="20"/>
        </w:trPr>
        <w:tc>
          <w:tcPr>
            <w:tcW w:w="2438" w:type="dxa"/>
            <w:tcMar>
              <w:top w:w="100" w:type="dxa"/>
              <w:left w:w="113" w:type="dxa"/>
              <w:bottom w:w="100" w:type="dxa"/>
              <w:right w:w="113" w:type="dxa"/>
            </w:tcMar>
            <w:vAlign w:val="center"/>
          </w:tcPr>
          <w:p w14:paraId="1D1B3368" w14:textId="77777777" w:rsidR="001D5BE6" w:rsidRPr="001D5BE6" w:rsidRDefault="001D5BE6" w:rsidP="001E3AC7">
            <w:pPr>
              <w:pStyle w:val="CDITable-RowLeft"/>
            </w:pPr>
            <w:r w:rsidRPr="001D5BE6">
              <w:t xml:space="preserve">Egg </w:t>
            </w:r>
          </w:p>
        </w:tc>
        <w:tc>
          <w:tcPr>
            <w:tcW w:w="992" w:type="dxa"/>
            <w:tcMar>
              <w:top w:w="100" w:type="dxa"/>
              <w:left w:w="113" w:type="dxa"/>
              <w:bottom w:w="100" w:type="dxa"/>
              <w:right w:w="113" w:type="dxa"/>
            </w:tcMar>
            <w:vAlign w:val="center"/>
          </w:tcPr>
          <w:p w14:paraId="378FD98D" w14:textId="77777777" w:rsidR="001D5BE6" w:rsidRPr="001D5BE6" w:rsidRDefault="001D5BE6" w:rsidP="001E3AC7">
            <w:pPr>
              <w:pStyle w:val="CDITable-RowCentre"/>
            </w:pPr>
            <w:r w:rsidRPr="001D5BE6">
              <w:t>6</w:t>
            </w:r>
          </w:p>
        </w:tc>
        <w:tc>
          <w:tcPr>
            <w:tcW w:w="992" w:type="dxa"/>
            <w:tcMar>
              <w:top w:w="100" w:type="dxa"/>
              <w:left w:w="113" w:type="dxa"/>
              <w:bottom w:w="100" w:type="dxa"/>
              <w:right w:w="113" w:type="dxa"/>
            </w:tcMar>
            <w:vAlign w:val="center"/>
          </w:tcPr>
          <w:p w14:paraId="2499B59D" w14:textId="77777777" w:rsidR="001D5BE6" w:rsidRPr="001D5BE6" w:rsidRDefault="001D5BE6" w:rsidP="001E3AC7">
            <w:pPr>
              <w:pStyle w:val="CDITable-RowCentre"/>
            </w:pPr>
            <w:r w:rsidRPr="001D5BE6">
              <w:t>8</w:t>
            </w:r>
          </w:p>
        </w:tc>
        <w:tc>
          <w:tcPr>
            <w:tcW w:w="992" w:type="dxa"/>
            <w:tcMar>
              <w:top w:w="100" w:type="dxa"/>
              <w:left w:w="113" w:type="dxa"/>
              <w:bottom w:w="100" w:type="dxa"/>
              <w:right w:w="113" w:type="dxa"/>
            </w:tcMar>
            <w:vAlign w:val="center"/>
          </w:tcPr>
          <w:p w14:paraId="37D91523" w14:textId="77777777" w:rsidR="001D5BE6" w:rsidRPr="001D5BE6" w:rsidRDefault="001D5BE6" w:rsidP="001E3AC7">
            <w:pPr>
              <w:pStyle w:val="CDITable-RowCentre"/>
            </w:pPr>
            <w:r w:rsidRPr="001D5BE6">
              <w:t>75.0</w:t>
            </w:r>
          </w:p>
        </w:tc>
        <w:tc>
          <w:tcPr>
            <w:tcW w:w="992" w:type="dxa"/>
            <w:tcMar>
              <w:top w:w="100" w:type="dxa"/>
              <w:left w:w="113" w:type="dxa"/>
              <w:bottom w:w="100" w:type="dxa"/>
              <w:right w:w="113" w:type="dxa"/>
            </w:tcMar>
            <w:vAlign w:val="center"/>
          </w:tcPr>
          <w:p w14:paraId="1E0CB609" w14:textId="77777777" w:rsidR="001D5BE6" w:rsidRPr="001D5BE6" w:rsidRDefault="001D5BE6" w:rsidP="001E3AC7">
            <w:pPr>
              <w:pStyle w:val="CDITable-RowCentre"/>
            </w:pPr>
            <w:r w:rsidRPr="001D5BE6">
              <w:t>0</w:t>
            </w:r>
          </w:p>
        </w:tc>
        <w:tc>
          <w:tcPr>
            <w:tcW w:w="992" w:type="dxa"/>
            <w:tcMar>
              <w:top w:w="100" w:type="dxa"/>
              <w:left w:w="113" w:type="dxa"/>
              <w:bottom w:w="100" w:type="dxa"/>
              <w:right w:w="113" w:type="dxa"/>
            </w:tcMar>
            <w:vAlign w:val="center"/>
          </w:tcPr>
          <w:p w14:paraId="68B03455" w14:textId="77777777" w:rsidR="001D5BE6" w:rsidRPr="001D5BE6" w:rsidRDefault="001D5BE6" w:rsidP="001E3AC7">
            <w:pPr>
              <w:pStyle w:val="CDITable-RowCentre"/>
            </w:pPr>
            <w:r w:rsidRPr="001D5BE6">
              <w:t>2</w:t>
            </w:r>
          </w:p>
        </w:tc>
        <w:tc>
          <w:tcPr>
            <w:tcW w:w="993" w:type="dxa"/>
            <w:tcMar>
              <w:top w:w="100" w:type="dxa"/>
              <w:left w:w="113" w:type="dxa"/>
              <w:bottom w:w="100" w:type="dxa"/>
              <w:right w:w="113" w:type="dxa"/>
            </w:tcMar>
            <w:vAlign w:val="center"/>
          </w:tcPr>
          <w:p w14:paraId="4AD4A281" w14:textId="77777777" w:rsidR="001D5BE6" w:rsidRPr="001D5BE6" w:rsidRDefault="001D5BE6" w:rsidP="001E3AC7">
            <w:pPr>
              <w:pStyle w:val="CDITable-RowCentre"/>
            </w:pPr>
            <w:r w:rsidRPr="001D5BE6">
              <w:t>0.0</w:t>
            </w:r>
          </w:p>
        </w:tc>
        <w:tc>
          <w:tcPr>
            <w:tcW w:w="992" w:type="dxa"/>
            <w:tcMar>
              <w:top w:w="100" w:type="dxa"/>
              <w:left w:w="113" w:type="dxa"/>
              <w:bottom w:w="100" w:type="dxa"/>
              <w:right w:w="113" w:type="dxa"/>
            </w:tcMar>
            <w:vAlign w:val="center"/>
          </w:tcPr>
          <w:p w14:paraId="5A6B11D8" w14:textId="77777777" w:rsidR="001D5BE6" w:rsidRPr="001D5BE6" w:rsidRDefault="001D5BE6" w:rsidP="001E3AC7">
            <w:pPr>
              <w:pStyle w:val="CDITable-RowCentre"/>
            </w:pPr>
            <w:r w:rsidRPr="001D5BE6">
              <w:t xml:space="preserve">Inf </w:t>
            </w:r>
          </w:p>
        </w:tc>
        <w:tc>
          <w:tcPr>
            <w:tcW w:w="992" w:type="dxa"/>
            <w:tcMar>
              <w:top w:w="100" w:type="dxa"/>
              <w:left w:w="113" w:type="dxa"/>
              <w:bottom w:w="100" w:type="dxa"/>
              <w:right w:w="113" w:type="dxa"/>
            </w:tcMar>
            <w:vAlign w:val="center"/>
          </w:tcPr>
          <w:p w14:paraId="58986349" w14:textId="77777777" w:rsidR="001D5BE6" w:rsidRPr="001D5BE6" w:rsidRDefault="001D5BE6" w:rsidP="001E3AC7">
            <w:pPr>
              <w:pStyle w:val="CDITable-RowCentre"/>
            </w:pPr>
            <w:proofErr w:type="spellStart"/>
            <w:r w:rsidRPr="001D5BE6">
              <w:t>NaN</w:t>
            </w:r>
            <w:proofErr w:type="spellEnd"/>
            <w:r w:rsidRPr="001D5BE6">
              <w:t>–Inf</w:t>
            </w:r>
          </w:p>
        </w:tc>
        <w:tc>
          <w:tcPr>
            <w:tcW w:w="992" w:type="dxa"/>
            <w:tcMar>
              <w:top w:w="100" w:type="dxa"/>
              <w:left w:w="113" w:type="dxa"/>
              <w:bottom w:w="100" w:type="dxa"/>
              <w:right w:w="113" w:type="dxa"/>
            </w:tcMar>
            <w:vAlign w:val="center"/>
          </w:tcPr>
          <w:p w14:paraId="6925BCDC" w14:textId="77777777" w:rsidR="001D5BE6" w:rsidRPr="001D5BE6" w:rsidRDefault="001D5BE6" w:rsidP="001E3AC7">
            <w:pPr>
              <w:pStyle w:val="CDITable-RowCentre"/>
            </w:pPr>
            <w:r w:rsidRPr="001D5BE6">
              <w:t>0.13</w:t>
            </w:r>
          </w:p>
        </w:tc>
        <w:tc>
          <w:tcPr>
            <w:tcW w:w="992" w:type="dxa"/>
            <w:tcMar>
              <w:top w:w="100" w:type="dxa"/>
              <w:left w:w="113" w:type="dxa"/>
              <w:bottom w:w="100" w:type="dxa"/>
              <w:right w:w="113" w:type="dxa"/>
            </w:tcMar>
            <w:vAlign w:val="center"/>
          </w:tcPr>
          <w:p w14:paraId="67CB3FDA" w14:textId="77777777" w:rsidR="001D5BE6" w:rsidRPr="001D5BE6" w:rsidRDefault="001D5BE6" w:rsidP="001E3AC7">
            <w:pPr>
              <w:pStyle w:val="CDITable-RowCentre"/>
            </w:pPr>
          </w:p>
        </w:tc>
        <w:tc>
          <w:tcPr>
            <w:tcW w:w="992" w:type="dxa"/>
            <w:tcMar>
              <w:top w:w="100" w:type="dxa"/>
              <w:left w:w="113" w:type="dxa"/>
              <w:bottom w:w="100" w:type="dxa"/>
              <w:right w:w="113" w:type="dxa"/>
            </w:tcMar>
            <w:vAlign w:val="center"/>
          </w:tcPr>
          <w:p w14:paraId="7B5D78AA" w14:textId="77777777" w:rsidR="001D5BE6" w:rsidRPr="001D5BE6" w:rsidRDefault="001D5BE6" w:rsidP="001E3AC7">
            <w:pPr>
              <w:pStyle w:val="CDITable-RowCentre"/>
            </w:pPr>
          </w:p>
        </w:tc>
        <w:tc>
          <w:tcPr>
            <w:tcW w:w="992" w:type="dxa"/>
            <w:tcMar>
              <w:top w:w="100" w:type="dxa"/>
              <w:left w:w="113" w:type="dxa"/>
              <w:bottom w:w="100" w:type="dxa"/>
              <w:right w:w="113" w:type="dxa"/>
            </w:tcMar>
            <w:vAlign w:val="center"/>
          </w:tcPr>
          <w:p w14:paraId="4BEB163B" w14:textId="77777777" w:rsidR="001D5BE6" w:rsidRPr="001D5BE6" w:rsidRDefault="001D5BE6" w:rsidP="001E3AC7">
            <w:pPr>
              <w:pStyle w:val="CDITable-RowCentre"/>
            </w:pPr>
          </w:p>
        </w:tc>
      </w:tr>
      <w:tr w:rsidR="001D5BE6" w:rsidRPr="001D5BE6" w14:paraId="7945B799" w14:textId="77777777" w:rsidTr="001E3AC7">
        <w:trPr>
          <w:divId w:val="935526654"/>
          <w:trHeight w:val="20"/>
        </w:trPr>
        <w:tc>
          <w:tcPr>
            <w:tcW w:w="2438" w:type="dxa"/>
            <w:tcBorders>
              <w:bottom w:val="single" w:sz="6" w:space="0" w:color="033636" w:themeColor="text2"/>
            </w:tcBorders>
            <w:tcMar>
              <w:top w:w="100" w:type="dxa"/>
              <w:left w:w="113" w:type="dxa"/>
              <w:bottom w:w="100" w:type="dxa"/>
              <w:right w:w="113" w:type="dxa"/>
            </w:tcMar>
            <w:vAlign w:val="center"/>
          </w:tcPr>
          <w:p w14:paraId="3FDFD8CA" w14:textId="77777777" w:rsidR="001D5BE6" w:rsidRPr="001D5BE6" w:rsidRDefault="001D5BE6" w:rsidP="001E3AC7">
            <w:pPr>
              <w:pStyle w:val="CDITable-RowLeft"/>
            </w:pPr>
            <w:r w:rsidRPr="001D5BE6">
              <w:t xml:space="preserve">Salmon </w:t>
            </w:r>
          </w:p>
        </w:tc>
        <w:tc>
          <w:tcPr>
            <w:tcW w:w="992" w:type="dxa"/>
            <w:tcBorders>
              <w:bottom w:val="single" w:sz="6" w:space="0" w:color="033636" w:themeColor="text2"/>
            </w:tcBorders>
            <w:tcMar>
              <w:top w:w="100" w:type="dxa"/>
              <w:left w:w="113" w:type="dxa"/>
              <w:bottom w:w="100" w:type="dxa"/>
              <w:right w:w="113" w:type="dxa"/>
            </w:tcMar>
            <w:vAlign w:val="center"/>
          </w:tcPr>
          <w:p w14:paraId="098CA0F7" w14:textId="77777777" w:rsidR="001D5BE6" w:rsidRPr="001D5BE6" w:rsidRDefault="001D5BE6" w:rsidP="001E3AC7">
            <w:pPr>
              <w:pStyle w:val="CDITable-RowCentre"/>
            </w:pPr>
            <w:r w:rsidRPr="001D5BE6">
              <w:t>3</w:t>
            </w:r>
          </w:p>
        </w:tc>
        <w:tc>
          <w:tcPr>
            <w:tcW w:w="992" w:type="dxa"/>
            <w:tcBorders>
              <w:bottom w:val="single" w:sz="6" w:space="0" w:color="033636" w:themeColor="text2"/>
            </w:tcBorders>
            <w:tcMar>
              <w:top w:w="100" w:type="dxa"/>
              <w:left w:w="113" w:type="dxa"/>
              <w:bottom w:w="100" w:type="dxa"/>
              <w:right w:w="113" w:type="dxa"/>
            </w:tcMar>
            <w:vAlign w:val="center"/>
          </w:tcPr>
          <w:p w14:paraId="7307E690" w14:textId="77777777" w:rsidR="001D5BE6" w:rsidRPr="001D5BE6" w:rsidRDefault="001D5BE6" w:rsidP="001E3AC7">
            <w:pPr>
              <w:pStyle w:val="CDITable-RowCentre"/>
            </w:pPr>
            <w:r w:rsidRPr="001D5BE6">
              <w:t>4</w:t>
            </w:r>
          </w:p>
        </w:tc>
        <w:tc>
          <w:tcPr>
            <w:tcW w:w="992" w:type="dxa"/>
            <w:tcBorders>
              <w:bottom w:val="single" w:sz="6" w:space="0" w:color="033636" w:themeColor="text2"/>
            </w:tcBorders>
            <w:tcMar>
              <w:top w:w="100" w:type="dxa"/>
              <w:left w:w="113" w:type="dxa"/>
              <w:bottom w:w="100" w:type="dxa"/>
              <w:right w:w="113" w:type="dxa"/>
            </w:tcMar>
            <w:vAlign w:val="center"/>
          </w:tcPr>
          <w:p w14:paraId="1125236B" w14:textId="77777777" w:rsidR="001D5BE6" w:rsidRPr="001D5BE6" w:rsidRDefault="001D5BE6" w:rsidP="001E3AC7">
            <w:pPr>
              <w:pStyle w:val="CDITable-RowCentre"/>
            </w:pPr>
            <w:r w:rsidRPr="001D5BE6">
              <w:t>75.0</w:t>
            </w:r>
          </w:p>
        </w:tc>
        <w:tc>
          <w:tcPr>
            <w:tcW w:w="992" w:type="dxa"/>
            <w:tcBorders>
              <w:bottom w:val="single" w:sz="6" w:space="0" w:color="033636" w:themeColor="text2"/>
            </w:tcBorders>
            <w:tcMar>
              <w:top w:w="100" w:type="dxa"/>
              <w:left w:w="113" w:type="dxa"/>
              <w:bottom w:w="100" w:type="dxa"/>
              <w:right w:w="113" w:type="dxa"/>
            </w:tcMar>
            <w:vAlign w:val="center"/>
          </w:tcPr>
          <w:p w14:paraId="58CC7226" w14:textId="77777777" w:rsidR="001D5BE6" w:rsidRPr="001D5BE6" w:rsidRDefault="001D5BE6" w:rsidP="001E3AC7">
            <w:pPr>
              <w:pStyle w:val="CDITable-RowCentre"/>
            </w:pPr>
            <w:r w:rsidRPr="001D5BE6">
              <w:t>3</w:t>
            </w:r>
          </w:p>
        </w:tc>
        <w:tc>
          <w:tcPr>
            <w:tcW w:w="992" w:type="dxa"/>
            <w:tcBorders>
              <w:bottom w:val="single" w:sz="6" w:space="0" w:color="033636" w:themeColor="text2"/>
            </w:tcBorders>
            <w:tcMar>
              <w:top w:w="100" w:type="dxa"/>
              <w:left w:w="113" w:type="dxa"/>
              <w:bottom w:w="100" w:type="dxa"/>
              <w:right w:w="113" w:type="dxa"/>
            </w:tcMar>
            <w:vAlign w:val="center"/>
          </w:tcPr>
          <w:p w14:paraId="3643F113" w14:textId="77777777" w:rsidR="001D5BE6" w:rsidRPr="001D5BE6" w:rsidRDefault="001D5BE6" w:rsidP="001E3AC7">
            <w:pPr>
              <w:pStyle w:val="CDITable-RowCentre"/>
            </w:pPr>
            <w:r w:rsidRPr="001D5BE6">
              <w:t>6</w:t>
            </w:r>
          </w:p>
        </w:tc>
        <w:tc>
          <w:tcPr>
            <w:tcW w:w="993" w:type="dxa"/>
            <w:tcBorders>
              <w:bottom w:val="single" w:sz="6" w:space="0" w:color="033636" w:themeColor="text2"/>
            </w:tcBorders>
            <w:tcMar>
              <w:top w:w="100" w:type="dxa"/>
              <w:left w:w="113" w:type="dxa"/>
              <w:bottom w:w="100" w:type="dxa"/>
              <w:right w:w="113" w:type="dxa"/>
            </w:tcMar>
            <w:vAlign w:val="center"/>
          </w:tcPr>
          <w:p w14:paraId="67843480" w14:textId="77777777" w:rsidR="001D5BE6" w:rsidRPr="001D5BE6" w:rsidRDefault="001D5BE6" w:rsidP="001E3AC7">
            <w:pPr>
              <w:pStyle w:val="CDITable-RowCentre"/>
            </w:pPr>
            <w:r w:rsidRPr="001D5BE6">
              <w:t>50.0</w:t>
            </w:r>
          </w:p>
        </w:tc>
        <w:tc>
          <w:tcPr>
            <w:tcW w:w="992" w:type="dxa"/>
            <w:tcBorders>
              <w:bottom w:val="single" w:sz="6" w:space="0" w:color="033636" w:themeColor="text2"/>
            </w:tcBorders>
            <w:tcMar>
              <w:top w:w="100" w:type="dxa"/>
              <w:left w:w="113" w:type="dxa"/>
              <w:bottom w:w="100" w:type="dxa"/>
              <w:right w:w="113" w:type="dxa"/>
            </w:tcMar>
            <w:vAlign w:val="center"/>
          </w:tcPr>
          <w:p w14:paraId="55DF0118" w14:textId="77777777" w:rsidR="001D5BE6" w:rsidRPr="001D5BE6" w:rsidRDefault="001D5BE6" w:rsidP="001E3AC7">
            <w:pPr>
              <w:pStyle w:val="CDITable-RowCentre"/>
            </w:pPr>
            <w:r w:rsidRPr="001D5BE6">
              <w:t xml:space="preserve">1.5 </w:t>
            </w:r>
          </w:p>
        </w:tc>
        <w:tc>
          <w:tcPr>
            <w:tcW w:w="992" w:type="dxa"/>
            <w:tcBorders>
              <w:bottom w:val="single" w:sz="6" w:space="0" w:color="033636" w:themeColor="text2"/>
            </w:tcBorders>
            <w:tcMar>
              <w:top w:w="100" w:type="dxa"/>
              <w:left w:w="113" w:type="dxa"/>
              <w:bottom w:w="100" w:type="dxa"/>
              <w:right w:w="113" w:type="dxa"/>
            </w:tcMar>
            <w:vAlign w:val="center"/>
          </w:tcPr>
          <w:p w14:paraId="6739D374" w14:textId="77777777" w:rsidR="001D5BE6" w:rsidRPr="001D5BE6" w:rsidRDefault="001D5BE6" w:rsidP="001E3AC7">
            <w:pPr>
              <w:pStyle w:val="CDITable-RowCentre"/>
            </w:pPr>
            <w:r w:rsidRPr="001D5BE6">
              <w:t>0.6–4.0</w:t>
            </w:r>
          </w:p>
        </w:tc>
        <w:tc>
          <w:tcPr>
            <w:tcW w:w="992" w:type="dxa"/>
            <w:tcBorders>
              <w:bottom w:val="single" w:sz="6" w:space="0" w:color="033636" w:themeColor="text2"/>
            </w:tcBorders>
            <w:tcMar>
              <w:top w:w="100" w:type="dxa"/>
              <w:left w:w="113" w:type="dxa"/>
              <w:bottom w:w="100" w:type="dxa"/>
              <w:right w:w="113" w:type="dxa"/>
            </w:tcMar>
            <w:vAlign w:val="center"/>
          </w:tcPr>
          <w:p w14:paraId="3071EBE6" w14:textId="77777777" w:rsidR="001D5BE6" w:rsidRPr="001D5BE6" w:rsidRDefault="001D5BE6" w:rsidP="001E3AC7">
            <w:pPr>
              <w:pStyle w:val="CDITable-RowCentre"/>
            </w:pPr>
            <w:r w:rsidRPr="001D5BE6">
              <w:t>0.57</w:t>
            </w:r>
          </w:p>
        </w:tc>
        <w:tc>
          <w:tcPr>
            <w:tcW w:w="992" w:type="dxa"/>
            <w:tcBorders>
              <w:bottom w:val="single" w:sz="6" w:space="0" w:color="033636" w:themeColor="text2"/>
            </w:tcBorders>
            <w:tcMar>
              <w:top w:w="100" w:type="dxa"/>
              <w:left w:w="113" w:type="dxa"/>
              <w:bottom w:w="100" w:type="dxa"/>
              <w:right w:w="113" w:type="dxa"/>
            </w:tcMar>
            <w:vAlign w:val="center"/>
          </w:tcPr>
          <w:p w14:paraId="1D739978" w14:textId="77777777" w:rsidR="001D5BE6" w:rsidRPr="001D5BE6" w:rsidRDefault="001D5BE6" w:rsidP="001E3AC7">
            <w:pPr>
              <w:pStyle w:val="CDITable-RowCentre"/>
            </w:pPr>
          </w:p>
        </w:tc>
        <w:tc>
          <w:tcPr>
            <w:tcW w:w="992" w:type="dxa"/>
            <w:tcBorders>
              <w:bottom w:val="single" w:sz="6" w:space="0" w:color="033636" w:themeColor="text2"/>
            </w:tcBorders>
            <w:tcMar>
              <w:top w:w="100" w:type="dxa"/>
              <w:left w:w="113" w:type="dxa"/>
              <w:bottom w:w="100" w:type="dxa"/>
              <w:right w:w="113" w:type="dxa"/>
            </w:tcMar>
            <w:vAlign w:val="center"/>
          </w:tcPr>
          <w:p w14:paraId="76D34BEF" w14:textId="77777777" w:rsidR="001D5BE6" w:rsidRPr="001D5BE6" w:rsidRDefault="001D5BE6" w:rsidP="001E3AC7">
            <w:pPr>
              <w:pStyle w:val="CDITable-RowCentre"/>
            </w:pPr>
          </w:p>
        </w:tc>
        <w:tc>
          <w:tcPr>
            <w:tcW w:w="992" w:type="dxa"/>
            <w:tcBorders>
              <w:bottom w:val="single" w:sz="6" w:space="0" w:color="033636" w:themeColor="text2"/>
            </w:tcBorders>
            <w:tcMar>
              <w:top w:w="100" w:type="dxa"/>
              <w:left w:w="113" w:type="dxa"/>
              <w:bottom w:w="100" w:type="dxa"/>
              <w:right w:w="113" w:type="dxa"/>
            </w:tcMar>
            <w:vAlign w:val="center"/>
          </w:tcPr>
          <w:p w14:paraId="23150AA2" w14:textId="77777777" w:rsidR="001D5BE6" w:rsidRPr="001D5BE6" w:rsidRDefault="001D5BE6" w:rsidP="001E3AC7">
            <w:pPr>
              <w:pStyle w:val="CDITable-RowCentre"/>
            </w:pPr>
          </w:p>
        </w:tc>
      </w:tr>
      <w:tr w:rsidR="001D5BE6" w:rsidRPr="001D5BE6" w14:paraId="04B0DF2F" w14:textId="77777777" w:rsidTr="001E3AC7">
        <w:trPr>
          <w:divId w:val="935526654"/>
          <w:trHeight w:val="20"/>
        </w:trPr>
        <w:tc>
          <w:tcPr>
            <w:tcW w:w="14343" w:type="dxa"/>
            <w:gridSpan w:val="13"/>
            <w:tcBorders>
              <w:top w:val="single" w:sz="6" w:space="0" w:color="033636" w:themeColor="text2"/>
            </w:tcBorders>
            <w:shd w:val="clear" w:color="auto" w:fill="C5FFEF" w:themeFill="background2" w:themeFillTint="33"/>
            <w:tcMar>
              <w:top w:w="100" w:type="dxa"/>
              <w:left w:w="113" w:type="dxa"/>
              <w:bottom w:w="100" w:type="dxa"/>
              <w:right w:w="113" w:type="dxa"/>
            </w:tcMar>
            <w:vAlign w:val="center"/>
          </w:tcPr>
          <w:p w14:paraId="02A1651E" w14:textId="77777777" w:rsidR="001D5BE6" w:rsidRPr="000D1897" w:rsidRDefault="001D5BE6" w:rsidP="001E3AC7">
            <w:pPr>
              <w:pStyle w:val="CDITable-RowLeft"/>
              <w:keepNext/>
              <w:rPr>
                <w:b/>
                <w:bCs/>
              </w:rPr>
            </w:pPr>
            <w:r w:rsidRPr="000D1897">
              <w:rPr>
                <w:b/>
                <w:bCs/>
              </w:rPr>
              <w:lastRenderedPageBreak/>
              <w:t>Other</w:t>
            </w:r>
          </w:p>
        </w:tc>
      </w:tr>
      <w:tr w:rsidR="001D5BE6" w:rsidRPr="001D5BE6" w14:paraId="57552C10" w14:textId="77777777" w:rsidTr="001E3AC7">
        <w:trPr>
          <w:divId w:val="935526654"/>
          <w:trHeight w:val="20"/>
        </w:trPr>
        <w:tc>
          <w:tcPr>
            <w:tcW w:w="2438" w:type="dxa"/>
            <w:tcMar>
              <w:top w:w="100" w:type="dxa"/>
              <w:left w:w="113" w:type="dxa"/>
              <w:bottom w:w="100" w:type="dxa"/>
              <w:right w:w="113" w:type="dxa"/>
            </w:tcMar>
            <w:vAlign w:val="center"/>
          </w:tcPr>
          <w:p w14:paraId="106EB2CB" w14:textId="77777777" w:rsidR="001D5BE6" w:rsidRPr="001D5BE6" w:rsidRDefault="001D5BE6" w:rsidP="001E3AC7">
            <w:pPr>
              <w:pStyle w:val="CDITable-RowLeft"/>
            </w:pPr>
            <w:r w:rsidRPr="001D5BE6">
              <w:t xml:space="preserve">Hot </w:t>
            </w:r>
            <w:proofErr w:type="spellStart"/>
            <w:r w:rsidRPr="001D5BE6">
              <w:t>food</w:t>
            </w:r>
            <w:r w:rsidRPr="001E3AC7">
              <w:rPr>
                <w:vertAlign w:val="superscript"/>
              </w:rPr>
              <w:t>c</w:t>
            </w:r>
            <w:proofErr w:type="spellEnd"/>
          </w:p>
        </w:tc>
        <w:tc>
          <w:tcPr>
            <w:tcW w:w="992" w:type="dxa"/>
            <w:tcMar>
              <w:top w:w="100" w:type="dxa"/>
              <w:left w:w="113" w:type="dxa"/>
              <w:bottom w:w="100" w:type="dxa"/>
              <w:right w:w="113" w:type="dxa"/>
            </w:tcMar>
            <w:vAlign w:val="center"/>
          </w:tcPr>
          <w:p w14:paraId="01CDE05F" w14:textId="77777777" w:rsidR="001D5BE6" w:rsidRPr="001D5BE6" w:rsidRDefault="001D5BE6" w:rsidP="001E3AC7">
            <w:pPr>
              <w:pStyle w:val="CDITable-RowCentre"/>
            </w:pPr>
            <w:r w:rsidRPr="001D5BE6">
              <w:t>11</w:t>
            </w:r>
          </w:p>
        </w:tc>
        <w:tc>
          <w:tcPr>
            <w:tcW w:w="992" w:type="dxa"/>
            <w:tcMar>
              <w:top w:w="100" w:type="dxa"/>
              <w:left w:w="113" w:type="dxa"/>
              <w:bottom w:w="100" w:type="dxa"/>
              <w:right w:w="113" w:type="dxa"/>
            </w:tcMar>
            <w:vAlign w:val="center"/>
          </w:tcPr>
          <w:p w14:paraId="52253D71" w14:textId="77777777" w:rsidR="001D5BE6" w:rsidRPr="001D5BE6" w:rsidRDefault="001D5BE6" w:rsidP="001E3AC7">
            <w:pPr>
              <w:pStyle w:val="CDITable-RowCentre"/>
            </w:pPr>
            <w:r w:rsidRPr="001D5BE6">
              <w:t>20</w:t>
            </w:r>
          </w:p>
        </w:tc>
        <w:tc>
          <w:tcPr>
            <w:tcW w:w="992" w:type="dxa"/>
            <w:tcMar>
              <w:top w:w="100" w:type="dxa"/>
              <w:left w:w="113" w:type="dxa"/>
              <w:bottom w:w="100" w:type="dxa"/>
              <w:right w:w="113" w:type="dxa"/>
            </w:tcMar>
            <w:vAlign w:val="center"/>
          </w:tcPr>
          <w:p w14:paraId="79B2FE97" w14:textId="77777777" w:rsidR="001D5BE6" w:rsidRPr="001D5BE6" w:rsidRDefault="001D5BE6" w:rsidP="001E3AC7">
            <w:pPr>
              <w:pStyle w:val="CDITable-RowCentre"/>
            </w:pPr>
            <w:r w:rsidRPr="001D5BE6">
              <w:t>55.0</w:t>
            </w:r>
          </w:p>
        </w:tc>
        <w:tc>
          <w:tcPr>
            <w:tcW w:w="992" w:type="dxa"/>
            <w:tcMar>
              <w:top w:w="100" w:type="dxa"/>
              <w:left w:w="113" w:type="dxa"/>
              <w:bottom w:w="100" w:type="dxa"/>
              <w:right w:w="113" w:type="dxa"/>
            </w:tcMar>
            <w:vAlign w:val="center"/>
          </w:tcPr>
          <w:p w14:paraId="62DDDA8B" w14:textId="77777777" w:rsidR="001D5BE6" w:rsidRPr="001D5BE6" w:rsidRDefault="001D5BE6" w:rsidP="001E3AC7">
            <w:pPr>
              <w:pStyle w:val="CDITable-RowCentre"/>
            </w:pPr>
            <w:r w:rsidRPr="001D5BE6">
              <w:t>6</w:t>
            </w:r>
          </w:p>
        </w:tc>
        <w:tc>
          <w:tcPr>
            <w:tcW w:w="992" w:type="dxa"/>
            <w:tcMar>
              <w:top w:w="100" w:type="dxa"/>
              <w:left w:w="113" w:type="dxa"/>
              <w:bottom w:w="100" w:type="dxa"/>
              <w:right w:w="113" w:type="dxa"/>
            </w:tcMar>
            <w:vAlign w:val="center"/>
          </w:tcPr>
          <w:p w14:paraId="7415F1B7" w14:textId="77777777" w:rsidR="001D5BE6" w:rsidRPr="001D5BE6" w:rsidRDefault="001D5BE6" w:rsidP="001E3AC7">
            <w:pPr>
              <w:pStyle w:val="CDITable-RowCentre"/>
            </w:pPr>
            <w:r w:rsidRPr="001D5BE6">
              <w:t>17</w:t>
            </w:r>
          </w:p>
        </w:tc>
        <w:tc>
          <w:tcPr>
            <w:tcW w:w="993" w:type="dxa"/>
            <w:tcMar>
              <w:top w:w="100" w:type="dxa"/>
              <w:left w:w="113" w:type="dxa"/>
              <w:bottom w:w="100" w:type="dxa"/>
              <w:right w:w="113" w:type="dxa"/>
            </w:tcMar>
            <w:vAlign w:val="center"/>
          </w:tcPr>
          <w:p w14:paraId="08E6F6EA" w14:textId="77777777" w:rsidR="001D5BE6" w:rsidRPr="001D5BE6" w:rsidRDefault="001D5BE6" w:rsidP="001E3AC7">
            <w:pPr>
              <w:pStyle w:val="CDITable-RowCentre"/>
            </w:pPr>
            <w:r w:rsidRPr="001D5BE6">
              <w:t>35.3</w:t>
            </w:r>
          </w:p>
        </w:tc>
        <w:tc>
          <w:tcPr>
            <w:tcW w:w="992" w:type="dxa"/>
            <w:tcMar>
              <w:top w:w="100" w:type="dxa"/>
              <w:left w:w="113" w:type="dxa"/>
              <w:bottom w:w="100" w:type="dxa"/>
              <w:right w:w="113" w:type="dxa"/>
            </w:tcMar>
            <w:vAlign w:val="center"/>
          </w:tcPr>
          <w:p w14:paraId="1F9B252F" w14:textId="77777777" w:rsidR="001D5BE6" w:rsidRPr="001D5BE6" w:rsidRDefault="001D5BE6" w:rsidP="001E3AC7">
            <w:pPr>
              <w:pStyle w:val="CDITable-RowCentre"/>
            </w:pPr>
            <w:r w:rsidRPr="001D5BE6">
              <w:t xml:space="preserve">1.6 </w:t>
            </w:r>
          </w:p>
        </w:tc>
        <w:tc>
          <w:tcPr>
            <w:tcW w:w="992" w:type="dxa"/>
            <w:tcMar>
              <w:top w:w="100" w:type="dxa"/>
              <w:left w:w="113" w:type="dxa"/>
              <w:bottom w:w="100" w:type="dxa"/>
              <w:right w:w="113" w:type="dxa"/>
            </w:tcMar>
            <w:vAlign w:val="center"/>
          </w:tcPr>
          <w:p w14:paraId="1DEE3C11" w14:textId="77777777" w:rsidR="001D5BE6" w:rsidRPr="001D5BE6" w:rsidRDefault="001D5BE6" w:rsidP="001E3AC7">
            <w:pPr>
              <w:pStyle w:val="CDITable-RowCentre"/>
            </w:pPr>
            <w:r w:rsidRPr="001D5BE6">
              <w:t>0.7–3.3</w:t>
            </w:r>
          </w:p>
        </w:tc>
        <w:tc>
          <w:tcPr>
            <w:tcW w:w="992" w:type="dxa"/>
            <w:tcMar>
              <w:top w:w="100" w:type="dxa"/>
              <w:left w:w="113" w:type="dxa"/>
              <w:bottom w:w="100" w:type="dxa"/>
              <w:right w:w="113" w:type="dxa"/>
            </w:tcMar>
            <w:vAlign w:val="center"/>
          </w:tcPr>
          <w:p w14:paraId="5783104C" w14:textId="77777777" w:rsidR="001D5BE6" w:rsidRPr="001D5BE6" w:rsidRDefault="001D5BE6" w:rsidP="001E3AC7">
            <w:pPr>
              <w:pStyle w:val="CDITable-RowCentre"/>
            </w:pPr>
            <w:r w:rsidRPr="001D5BE6">
              <w:t>0.23</w:t>
            </w:r>
          </w:p>
        </w:tc>
        <w:tc>
          <w:tcPr>
            <w:tcW w:w="992" w:type="dxa"/>
            <w:tcMar>
              <w:top w:w="100" w:type="dxa"/>
              <w:left w:w="113" w:type="dxa"/>
              <w:bottom w:w="100" w:type="dxa"/>
              <w:right w:w="113" w:type="dxa"/>
            </w:tcMar>
            <w:vAlign w:val="center"/>
          </w:tcPr>
          <w:p w14:paraId="5A150F52" w14:textId="77777777" w:rsidR="001D5BE6" w:rsidRPr="001D5BE6" w:rsidRDefault="001D5BE6" w:rsidP="001E3AC7">
            <w:pPr>
              <w:pStyle w:val="CDITable-RowCentre"/>
            </w:pPr>
          </w:p>
        </w:tc>
        <w:tc>
          <w:tcPr>
            <w:tcW w:w="992" w:type="dxa"/>
            <w:tcMar>
              <w:top w:w="100" w:type="dxa"/>
              <w:left w:w="113" w:type="dxa"/>
              <w:bottom w:w="100" w:type="dxa"/>
              <w:right w:w="113" w:type="dxa"/>
            </w:tcMar>
            <w:vAlign w:val="center"/>
          </w:tcPr>
          <w:p w14:paraId="74F9A337" w14:textId="77777777" w:rsidR="001D5BE6" w:rsidRPr="001D5BE6" w:rsidRDefault="001D5BE6" w:rsidP="001E3AC7">
            <w:pPr>
              <w:pStyle w:val="CDITable-RowCentre"/>
            </w:pPr>
          </w:p>
        </w:tc>
        <w:tc>
          <w:tcPr>
            <w:tcW w:w="992" w:type="dxa"/>
            <w:tcMar>
              <w:top w:w="100" w:type="dxa"/>
              <w:left w:w="113" w:type="dxa"/>
              <w:bottom w:w="100" w:type="dxa"/>
              <w:right w:w="113" w:type="dxa"/>
            </w:tcMar>
            <w:vAlign w:val="center"/>
          </w:tcPr>
          <w:p w14:paraId="27F75A6F" w14:textId="77777777" w:rsidR="001D5BE6" w:rsidRPr="001D5BE6" w:rsidRDefault="001D5BE6" w:rsidP="001E3AC7">
            <w:pPr>
              <w:pStyle w:val="CDITable-RowCentre"/>
            </w:pPr>
          </w:p>
        </w:tc>
      </w:tr>
      <w:tr w:rsidR="001D5BE6" w:rsidRPr="001D5BE6" w14:paraId="4280764F" w14:textId="77777777" w:rsidTr="001E3AC7">
        <w:trPr>
          <w:divId w:val="935526654"/>
          <w:trHeight w:val="20"/>
        </w:trPr>
        <w:tc>
          <w:tcPr>
            <w:tcW w:w="2438" w:type="dxa"/>
            <w:tcMar>
              <w:top w:w="100" w:type="dxa"/>
              <w:left w:w="113" w:type="dxa"/>
              <w:bottom w:w="100" w:type="dxa"/>
              <w:right w:w="113" w:type="dxa"/>
            </w:tcMar>
            <w:vAlign w:val="center"/>
          </w:tcPr>
          <w:p w14:paraId="7988568C" w14:textId="77777777" w:rsidR="001D5BE6" w:rsidRPr="001D5BE6" w:rsidRDefault="001D5BE6" w:rsidP="001E3AC7">
            <w:pPr>
              <w:pStyle w:val="CDITable-RowLeft"/>
            </w:pPr>
            <w:r w:rsidRPr="001D5BE6">
              <w:t>Rice paper rolls</w:t>
            </w:r>
          </w:p>
        </w:tc>
        <w:tc>
          <w:tcPr>
            <w:tcW w:w="992" w:type="dxa"/>
            <w:tcMar>
              <w:top w:w="100" w:type="dxa"/>
              <w:left w:w="113" w:type="dxa"/>
              <w:bottom w:w="100" w:type="dxa"/>
              <w:right w:w="113" w:type="dxa"/>
            </w:tcMar>
            <w:vAlign w:val="center"/>
          </w:tcPr>
          <w:p w14:paraId="7E6D38E9" w14:textId="77777777" w:rsidR="001D5BE6" w:rsidRPr="001D5BE6" w:rsidRDefault="001D5BE6" w:rsidP="001E3AC7">
            <w:pPr>
              <w:pStyle w:val="CDITable-RowCentre"/>
            </w:pPr>
            <w:r w:rsidRPr="001D5BE6">
              <w:t>11</w:t>
            </w:r>
          </w:p>
        </w:tc>
        <w:tc>
          <w:tcPr>
            <w:tcW w:w="992" w:type="dxa"/>
            <w:tcMar>
              <w:top w:w="100" w:type="dxa"/>
              <w:left w:w="113" w:type="dxa"/>
              <w:bottom w:w="100" w:type="dxa"/>
              <w:right w:w="113" w:type="dxa"/>
            </w:tcMar>
            <w:vAlign w:val="center"/>
          </w:tcPr>
          <w:p w14:paraId="3F2D2CD1" w14:textId="77777777" w:rsidR="001D5BE6" w:rsidRPr="001D5BE6" w:rsidRDefault="001D5BE6" w:rsidP="001E3AC7">
            <w:pPr>
              <w:pStyle w:val="CDITable-RowCentre"/>
            </w:pPr>
            <w:r w:rsidRPr="001D5BE6">
              <w:t>19</w:t>
            </w:r>
          </w:p>
        </w:tc>
        <w:tc>
          <w:tcPr>
            <w:tcW w:w="992" w:type="dxa"/>
            <w:tcMar>
              <w:top w:w="100" w:type="dxa"/>
              <w:left w:w="113" w:type="dxa"/>
              <w:bottom w:w="100" w:type="dxa"/>
              <w:right w:w="113" w:type="dxa"/>
            </w:tcMar>
            <w:vAlign w:val="center"/>
          </w:tcPr>
          <w:p w14:paraId="431D369A" w14:textId="77777777" w:rsidR="001D5BE6" w:rsidRPr="001D5BE6" w:rsidRDefault="001D5BE6" w:rsidP="001E3AC7">
            <w:pPr>
              <w:pStyle w:val="CDITable-RowCentre"/>
            </w:pPr>
            <w:r w:rsidRPr="001D5BE6">
              <w:t>57.9</w:t>
            </w:r>
          </w:p>
        </w:tc>
        <w:tc>
          <w:tcPr>
            <w:tcW w:w="992" w:type="dxa"/>
            <w:tcMar>
              <w:top w:w="100" w:type="dxa"/>
              <w:left w:w="113" w:type="dxa"/>
              <w:bottom w:w="100" w:type="dxa"/>
              <w:right w:w="113" w:type="dxa"/>
            </w:tcMar>
            <w:vAlign w:val="center"/>
          </w:tcPr>
          <w:p w14:paraId="52C48245" w14:textId="77777777" w:rsidR="001D5BE6" w:rsidRPr="001D5BE6" w:rsidRDefault="001D5BE6" w:rsidP="001E3AC7">
            <w:pPr>
              <w:pStyle w:val="CDITable-RowCentre"/>
            </w:pPr>
            <w:r w:rsidRPr="001D5BE6">
              <w:t>8</w:t>
            </w:r>
          </w:p>
        </w:tc>
        <w:tc>
          <w:tcPr>
            <w:tcW w:w="992" w:type="dxa"/>
            <w:tcMar>
              <w:top w:w="100" w:type="dxa"/>
              <w:left w:w="113" w:type="dxa"/>
              <w:bottom w:w="100" w:type="dxa"/>
              <w:right w:w="113" w:type="dxa"/>
            </w:tcMar>
            <w:vAlign w:val="center"/>
          </w:tcPr>
          <w:p w14:paraId="57C6601D" w14:textId="77777777" w:rsidR="001D5BE6" w:rsidRPr="001D5BE6" w:rsidRDefault="001D5BE6" w:rsidP="001E3AC7">
            <w:pPr>
              <w:pStyle w:val="CDITable-RowCentre"/>
            </w:pPr>
            <w:r w:rsidRPr="001D5BE6">
              <w:t>22</w:t>
            </w:r>
          </w:p>
        </w:tc>
        <w:tc>
          <w:tcPr>
            <w:tcW w:w="993" w:type="dxa"/>
            <w:tcMar>
              <w:top w:w="100" w:type="dxa"/>
              <w:left w:w="113" w:type="dxa"/>
              <w:bottom w:w="100" w:type="dxa"/>
              <w:right w:w="113" w:type="dxa"/>
            </w:tcMar>
            <w:vAlign w:val="center"/>
          </w:tcPr>
          <w:p w14:paraId="70622A93" w14:textId="77777777" w:rsidR="001D5BE6" w:rsidRPr="001D5BE6" w:rsidRDefault="001D5BE6" w:rsidP="001E3AC7">
            <w:pPr>
              <w:pStyle w:val="CDITable-RowCentre"/>
            </w:pPr>
            <w:r w:rsidRPr="001D5BE6">
              <w:t>36.4</w:t>
            </w:r>
          </w:p>
        </w:tc>
        <w:tc>
          <w:tcPr>
            <w:tcW w:w="992" w:type="dxa"/>
            <w:tcMar>
              <w:top w:w="100" w:type="dxa"/>
              <w:left w:w="113" w:type="dxa"/>
              <w:bottom w:w="100" w:type="dxa"/>
              <w:right w:w="113" w:type="dxa"/>
            </w:tcMar>
            <w:vAlign w:val="center"/>
          </w:tcPr>
          <w:p w14:paraId="010834C7" w14:textId="77777777" w:rsidR="001D5BE6" w:rsidRPr="001D5BE6" w:rsidRDefault="001D5BE6" w:rsidP="001E3AC7">
            <w:pPr>
              <w:pStyle w:val="CDITable-RowCentre"/>
            </w:pPr>
            <w:r w:rsidRPr="001D5BE6">
              <w:t xml:space="preserve">1.6 </w:t>
            </w:r>
          </w:p>
        </w:tc>
        <w:tc>
          <w:tcPr>
            <w:tcW w:w="992" w:type="dxa"/>
            <w:tcMar>
              <w:top w:w="100" w:type="dxa"/>
              <w:left w:w="113" w:type="dxa"/>
              <w:bottom w:w="100" w:type="dxa"/>
              <w:right w:w="113" w:type="dxa"/>
            </w:tcMar>
            <w:vAlign w:val="center"/>
          </w:tcPr>
          <w:p w14:paraId="32DD7502" w14:textId="77777777" w:rsidR="001D5BE6" w:rsidRPr="001D5BE6" w:rsidRDefault="001D5BE6" w:rsidP="001E3AC7">
            <w:pPr>
              <w:pStyle w:val="CDITable-RowCentre"/>
            </w:pPr>
            <w:r w:rsidRPr="001D5BE6">
              <w:t>0.8–3.1</w:t>
            </w:r>
          </w:p>
        </w:tc>
        <w:tc>
          <w:tcPr>
            <w:tcW w:w="992" w:type="dxa"/>
            <w:tcMar>
              <w:top w:w="100" w:type="dxa"/>
              <w:left w:w="113" w:type="dxa"/>
              <w:bottom w:w="100" w:type="dxa"/>
              <w:right w:w="113" w:type="dxa"/>
            </w:tcMar>
            <w:vAlign w:val="center"/>
          </w:tcPr>
          <w:p w14:paraId="74DEA8D6" w14:textId="77777777" w:rsidR="001D5BE6" w:rsidRPr="001D5BE6" w:rsidRDefault="001D5BE6" w:rsidP="001E3AC7">
            <w:pPr>
              <w:pStyle w:val="CDITable-RowCentre"/>
            </w:pPr>
            <w:r w:rsidRPr="001D5BE6">
              <w:t>0.16</w:t>
            </w:r>
          </w:p>
        </w:tc>
        <w:tc>
          <w:tcPr>
            <w:tcW w:w="992" w:type="dxa"/>
            <w:tcMar>
              <w:top w:w="100" w:type="dxa"/>
              <w:left w:w="113" w:type="dxa"/>
              <w:bottom w:w="100" w:type="dxa"/>
              <w:right w:w="113" w:type="dxa"/>
            </w:tcMar>
            <w:vAlign w:val="center"/>
          </w:tcPr>
          <w:p w14:paraId="1D0020A7" w14:textId="77777777" w:rsidR="001D5BE6" w:rsidRPr="001D5BE6" w:rsidRDefault="001D5BE6" w:rsidP="001E3AC7">
            <w:pPr>
              <w:pStyle w:val="CDITable-RowCentre"/>
            </w:pPr>
          </w:p>
        </w:tc>
        <w:tc>
          <w:tcPr>
            <w:tcW w:w="992" w:type="dxa"/>
            <w:tcMar>
              <w:top w:w="100" w:type="dxa"/>
              <w:left w:w="113" w:type="dxa"/>
              <w:bottom w:w="100" w:type="dxa"/>
              <w:right w:w="113" w:type="dxa"/>
            </w:tcMar>
            <w:vAlign w:val="center"/>
          </w:tcPr>
          <w:p w14:paraId="28F16F20" w14:textId="77777777" w:rsidR="001D5BE6" w:rsidRPr="001D5BE6" w:rsidRDefault="001D5BE6" w:rsidP="001E3AC7">
            <w:pPr>
              <w:pStyle w:val="CDITable-RowCentre"/>
            </w:pPr>
          </w:p>
        </w:tc>
        <w:tc>
          <w:tcPr>
            <w:tcW w:w="992" w:type="dxa"/>
            <w:tcMar>
              <w:top w:w="100" w:type="dxa"/>
              <w:left w:w="113" w:type="dxa"/>
              <w:bottom w:w="100" w:type="dxa"/>
              <w:right w:w="113" w:type="dxa"/>
            </w:tcMar>
            <w:vAlign w:val="center"/>
          </w:tcPr>
          <w:p w14:paraId="5140EAE7" w14:textId="77777777" w:rsidR="001D5BE6" w:rsidRPr="001D5BE6" w:rsidRDefault="001D5BE6" w:rsidP="001E3AC7">
            <w:pPr>
              <w:pStyle w:val="CDITable-RowCentre"/>
            </w:pPr>
          </w:p>
        </w:tc>
      </w:tr>
      <w:tr w:rsidR="001D5BE6" w:rsidRPr="001D5BE6" w14:paraId="49BB5FE1" w14:textId="77777777" w:rsidTr="001E3AC7">
        <w:trPr>
          <w:divId w:val="935526654"/>
          <w:trHeight w:val="20"/>
        </w:trPr>
        <w:tc>
          <w:tcPr>
            <w:tcW w:w="2438" w:type="dxa"/>
            <w:tcMar>
              <w:top w:w="100" w:type="dxa"/>
              <w:left w:w="113" w:type="dxa"/>
              <w:bottom w:w="100" w:type="dxa"/>
              <w:right w:w="113" w:type="dxa"/>
            </w:tcMar>
            <w:vAlign w:val="center"/>
          </w:tcPr>
          <w:p w14:paraId="55479F19" w14:textId="77777777" w:rsidR="001D5BE6" w:rsidRPr="001D5BE6" w:rsidRDefault="001D5BE6" w:rsidP="001E3AC7">
            <w:pPr>
              <w:pStyle w:val="CDITable-RowLeft"/>
            </w:pPr>
            <w:r w:rsidRPr="001D5BE6">
              <w:t>Fruit</w:t>
            </w:r>
          </w:p>
        </w:tc>
        <w:tc>
          <w:tcPr>
            <w:tcW w:w="992" w:type="dxa"/>
            <w:tcMar>
              <w:top w:w="100" w:type="dxa"/>
              <w:left w:w="113" w:type="dxa"/>
              <w:bottom w:w="100" w:type="dxa"/>
              <w:right w:w="113" w:type="dxa"/>
            </w:tcMar>
            <w:vAlign w:val="center"/>
          </w:tcPr>
          <w:p w14:paraId="37AF5939" w14:textId="77777777" w:rsidR="001D5BE6" w:rsidRPr="001D5BE6" w:rsidRDefault="001D5BE6" w:rsidP="001E3AC7">
            <w:pPr>
              <w:pStyle w:val="CDITable-RowCentre"/>
            </w:pPr>
            <w:r w:rsidRPr="001D5BE6">
              <w:t>17</w:t>
            </w:r>
          </w:p>
        </w:tc>
        <w:tc>
          <w:tcPr>
            <w:tcW w:w="992" w:type="dxa"/>
            <w:tcMar>
              <w:top w:w="100" w:type="dxa"/>
              <w:left w:w="113" w:type="dxa"/>
              <w:bottom w:w="100" w:type="dxa"/>
              <w:right w:w="113" w:type="dxa"/>
            </w:tcMar>
            <w:vAlign w:val="center"/>
          </w:tcPr>
          <w:p w14:paraId="5CFEC30F" w14:textId="77777777" w:rsidR="001D5BE6" w:rsidRPr="001D5BE6" w:rsidRDefault="001D5BE6" w:rsidP="001E3AC7">
            <w:pPr>
              <w:pStyle w:val="CDITable-RowCentre"/>
            </w:pPr>
            <w:r w:rsidRPr="001D5BE6">
              <w:t>34</w:t>
            </w:r>
          </w:p>
        </w:tc>
        <w:tc>
          <w:tcPr>
            <w:tcW w:w="992" w:type="dxa"/>
            <w:tcMar>
              <w:top w:w="100" w:type="dxa"/>
              <w:left w:w="113" w:type="dxa"/>
              <w:bottom w:w="100" w:type="dxa"/>
              <w:right w:w="113" w:type="dxa"/>
            </w:tcMar>
            <w:vAlign w:val="center"/>
          </w:tcPr>
          <w:p w14:paraId="348E111C" w14:textId="77777777" w:rsidR="001D5BE6" w:rsidRPr="001D5BE6" w:rsidRDefault="001D5BE6" w:rsidP="001E3AC7">
            <w:pPr>
              <w:pStyle w:val="CDITable-RowCentre"/>
            </w:pPr>
            <w:r w:rsidRPr="001D5BE6">
              <w:t>50.0</w:t>
            </w:r>
          </w:p>
        </w:tc>
        <w:tc>
          <w:tcPr>
            <w:tcW w:w="992" w:type="dxa"/>
            <w:tcMar>
              <w:top w:w="100" w:type="dxa"/>
              <w:left w:w="113" w:type="dxa"/>
              <w:bottom w:w="100" w:type="dxa"/>
              <w:right w:w="113" w:type="dxa"/>
            </w:tcMar>
            <w:vAlign w:val="center"/>
          </w:tcPr>
          <w:p w14:paraId="49331FE9" w14:textId="77777777" w:rsidR="001D5BE6" w:rsidRPr="001D5BE6" w:rsidRDefault="001D5BE6" w:rsidP="001E3AC7">
            <w:pPr>
              <w:pStyle w:val="CDITable-RowCentre"/>
            </w:pPr>
            <w:r w:rsidRPr="001D5BE6">
              <w:t>22</w:t>
            </w:r>
          </w:p>
        </w:tc>
        <w:tc>
          <w:tcPr>
            <w:tcW w:w="992" w:type="dxa"/>
            <w:tcMar>
              <w:top w:w="100" w:type="dxa"/>
              <w:left w:w="113" w:type="dxa"/>
              <w:bottom w:w="100" w:type="dxa"/>
              <w:right w:w="113" w:type="dxa"/>
            </w:tcMar>
            <w:vAlign w:val="center"/>
          </w:tcPr>
          <w:p w14:paraId="495C0516" w14:textId="77777777" w:rsidR="001D5BE6" w:rsidRPr="001D5BE6" w:rsidRDefault="001D5BE6" w:rsidP="001E3AC7">
            <w:pPr>
              <w:pStyle w:val="CDITable-RowCentre"/>
            </w:pPr>
            <w:r w:rsidRPr="001D5BE6">
              <w:t>43</w:t>
            </w:r>
          </w:p>
        </w:tc>
        <w:tc>
          <w:tcPr>
            <w:tcW w:w="993" w:type="dxa"/>
            <w:tcMar>
              <w:top w:w="100" w:type="dxa"/>
              <w:left w:w="113" w:type="dxa"/>
              <w:bottom w:w="100" w:type="dxa"/>
              <w:right w:w="113" w:type="dxa"/>
            </w:tcMar>
            <w:vAlign w:val="center"/>
          </w:tcPr>
          <w:p w14:paraId="6A3BF5DB" w14:textId="77777777" w:rsidR="001D5BE6" w:rsidRPr="001D5BE6" w:rsidRDefault="001D5BE6" w:rsidP="001E3AC7">
            <w:pPr>
              <w:pStyle w:val="CDITable-RowCentre"/>
            </w:pPr>
            <w:r w:rsidRPr="001D5BE6">
              <w:t>51.2</w:t>
            </w:r>
          </w:p>
        </w:tc>
        <w:tc>
          <w:tcPr>
            <w:tcW w:w="992" w:type="dxa"/>
            <w:tcMar>
              <w:top w:w="100" w:type="dxa"/>
              <w:left w:w="113" w:type="dxa"/>
              <w:bottom w:w="100" w:type="dxa"/>
              <w:right w:w="113" w:type="dxa"/>
            </w:tcMar>
            <w:vAlign w:val="center"/>
          </w:tcPr>
          <w:p w14:paraId="1953BCBC" w14:textId="77777777" w:rsidR="001D5BE6" w:rsidRPr="001D5BE6" w:rsidRDefault="001D5BE6" w:rsidP="001E3AC7">
            <w:pPr>
              <w:pStyle w:val="CDITable-RowCentre"/>
            </w:pPr>
            <w:r w:rsidRPr="001D5BE6">
              <w:t xml:space="preserve">1.0 </w:t>
            </w:r>
          </w:p>
        </w:tc>
        <w:tc>
          <w:tcPr>
            <w:tcW w:w="992" w:type="dxa"/>
            <w:tcMar>
              <w:top w:w="100" w:type="dxa"/>
              <w:left w:w="113" w:type="dxa"/>
              <w:bottom w:w="100" w:type="dxa"/>
              <w:right w:w="113" w:type="dxa"/>
            </w:tcMar>
            <w:vAlign w:val="center"/>
          </w:tcPr>
          <w:p w14:paraId="3C7C3A89" w14:textId="77777777" w:rsidR="001D5BE6" w:rsidRPr="001D5BE6" w:rsidRDefault="001D5BE6" w:rsidP="001E3AC7">
            <w:pPr>
              <w:pStyle w:val="CDITable-RowCentre"/>
            </w:pPr>
            <w:r w:rsidRPr="001D5BE6">
              <w:t>0.6–1.5</w:t>
            </w:r>
          </w:p>
        </w:tc>
        <w:tc>
          <w:tcPr>
            <w:tcW w:w="992" w:type="dxa"/>
            <w:tcMar>
              <w:top w:w="100" w:type="dxa"/>
              <w:left w:w="113" w:type="dxa"/>
              <w:bottom w:w="100" w:type="dxa"/>
              <w:right w:w="113" w:type="dxa"/>
            </w:tcMar>
            <w:vAlign w:val="center"/>
          </w:tcPr>
          <w:p w14:paraId="04DE6321" w14:textId="77777777" w:rsidR="001D5BE6" w:rsidRPr="001D5BE6" w:rsidRDefault="001D5BE6" w:rsidP="001E3AC7">
            <w:pPr>
              <w:pStyle w:val="CDITable-RowCentre"/>
            </w:pPr>
            <w:r w:rsidRPr="001D5BE6">
              <w:t>0.92</w:t>
            </w:r>
          </w:p>
        </w:tc>
        <w:tc>
          <w:tcPr>
            <w:tcW w:w="992" w:type="dxa"/>
            <w:tcMar>
              <w:top w:w="100" w:type="dxa"/>
              <w:left w:w="113" w:type="dxa"/>
              <w:bottom w:w="100" w:type="dxa"/>
              <w:right w:w="113" w:type="dxa"/>
            </w:tcMar>
            <w:vAlign w:val="center"/>
          </w:tcPr>
          <w:p w14:paraId="628D95CB" w14:textId="77777777" w:rsidR="001D5BE6" w:rsidRPr="001D5BE6" w:rsidRDefault="001D5BE6" w:rsidP="001E3AC7">
            <w:pPr>
              <w:pStyle w:val="CDITable-RowCentre"/>
            </w:pPr>
          </w:p>
        </w:tc>
        <w:tc>
          <w:tcPr>
            <w:tcW w:w="992" w:type="dxa"/>
            <w:tcMar>
              <w:top w:w="100" w:type="dxa"/>
              <w:left w:w="113" w:type="dxa"/>
              <w:bottom w:w="100" w:type="dxa"/>
              <w:right w:w="113" w:type="dxa"/>
            </w:tcMar>
            <w:vAlign w:val="center"/>
          </w:tcPr>
          <w:p w14:paraId="6CB87E69" w14:textId="77777777" w:rsidR="001D5BE6" w:rsidRPr="001D5BE6" w:rsidRDefault="001D5BE6" w:rsidP="001E3AC7">
            <w:pPr>
              <w:pStyle w:val="CDITable-RowCentre"/>
            </w:pPr>
          </w:p>
        </w:tc>
        <w:tc>
          <w:tcPr>
            <w:tcW w:w="992" w:type="dxa"/>
            <w:tcMar>
              <w:top w:w="100" w:type="dxa"/>
              <w:left w:w="113" w:type="dxa"/>
              <w:bottom w:w="100" w:type="dxa"/>
              <w:right w:w="113" w:type="dxa"/>
            </w:tcMar>
            <w:vAlign w:val="center"/>
          </w:tcPr>
          <w:p w14:paraId="7CD67109" w14:textId="77777777" w:rsidR="001D5BE6" w:rsidRPr="001D5BE6" w:rsidRDefault="001D5BE6" w:rsidP="001E3AC7">
            <w:pPr>
              <w:pStyle w:val="CDITable-RowCentre"/>
            </w:pPr>
          </w:p>
        </w:tc>
      </w:tr>
      <w:tr w:rsidR="001D5BE6" w:rsidRPr="001D5BE6" w14:paraId="1EFBC35E" w14:textId="77777777" w:rsidTr="001E3AC7">
        <w:trPr>
          <w:divId w:val="935526654"/>
          <w:trHeight w:val="20"/>
        </w:trPr>
        <w:tc>
          <w:tcPr>
            <w:tcW w:w="2438" w:type="dxa"/>
            <w:tcBorders>
              <w:bottom w:val="single" w:sz="6" w:space="0" w:color="033636" w:themeColor="text2"/>
            </w:tcBorders>
            <w:tcMar>
              <w:top w:w="100" w:type="dxa"/>
              <w:left w:w="113" w:type="dxa"/>
              <w:bottom w:w="100" w:type="dxa"/>
              <w:right w:w="113" w:type="dxa"/>
            </w:tcMar>
            <w:vAlign w:val="center"/>
          </w:tcPr>
          <w:p w14:paraId="345A0D16" w14:textId="77777777" w:rsidR="001D5BE6" w:rsidRPr="001D5BE6" w:rsidRDefault="001D5BE6" w:rsidP="001E3AC7">
            <w:pPr>
              <w:pStyle w:val="CDITable-RowLeft"/>
            </w:pPr>
            <w:r w:rsidRPr="001D5BE6">
              <w:t>Sweets (tarts, slices, cakes)</w:t>
            </w:r>
          </w:p>
        </w:tc>
        <w:tc>
          <w:tcPr>
            <w:tcW w:w="992" w:type="dxa"/>
            <w:tcBorders>
              <w:bottom w:val="single" w:sz="6" w:space="0" w:color="033636" w:themeColor="text2"/>
            </w:tcBorders>
            <w:tcMar>
              <w:top w:w="100" w:type="dxa"/>
              <w:left w:w="113" w:type="dxa"/>
              <w:bottom w:w="100" w:type="dxa"/>
              <w:right w:w="113" w:type="dxa"/>
            </w:tcMar>
            <w:vAlign w:val="center"/>
          </w:tcPr>
          <w:p w14:paraId="7DB4D05E" w14:textId="77777777" w:rsidR="001D5BE6" w:rsidRPr="001D5BE6" w:rsidRDefault="001D5BE6" w:rsidP="001E3AC7">
            <w:pPr>
              <w:pStyle w:val="CDITable-RowCentre"/>
            </w:pPr>
            <w:r w:rsidRPr="001D5BE6">
              <w:t>14</w:t>
            </w:r>
          </w:p>
        </w:tc>
        <w:tc>
          <w:tcPr>
            <w:tcW w:w="992" w:type="dxa"/>
            <w:tcBorders>
              <w:bottom w:val="single" w:sz="6" w:space="0" w:color="033636" w:themeColor="text2"/>
            </w:tcBorders>
            <w:tcMar>
              <w:top w:w="100" w:type="dxa"/>
              <w:left w:w="113" w:type="dxa"/>
              <w:bottom w:w="100" w:type="dxa"/>
              <w:right w:w="113" w:type="dxa"/>
            </w:tcMar>
            <w:vAlign w:val="center"/>
          </w:tcPr>
          <w:p w14:paraId="1CAA9C03" w14:textId="77777777" w:rsidR="001D5BE6" w:rsidRPr="001D5BE6" w:rsidRDefault="001D5BE6" w:rsidP="001E3AC7">
            <w:pPr>
              <w:pStyle w:val="CDITable-RowCentre"/>
            </w:pPr>
            <w:r w:rsidRPr="001D5BE6">
              <w:t>25</w:t>
            </w:r>
          </w:p>
        </w:tc>
        <w:tc>
          <w:tcPr>
            <w:tcW w:w="992" w:type="dxa"/>
            <w:tcBorders>
              <w:bottom w:val="single" w:sz="6" w:space="0" w:color="033636" w:themeColor="text2"/>
            </w:tcBorders>
            <w:tcMar>
              <w:top w:w="100" w:type="dxa"/>
              <w:left w:w="113" w:type="dxa"/>
              <w:bottom w:w="100" w:type="dxa"/>
              <w:right w:w="113" w:type="dxa"/>
            </w:tcMar>
            <w:vAlign w:val="center"/>
          </w:tcPr>
          <w:p w14:paraId="582FEE4A" w14:textId="77777777" w:rsidR="001D5BE6" w:rsidRPr="001D5BE6" w:rsidRDefault="001D5BE6" w:rsidP="001E3AC7">
            <w:pPr>
              <w:pStyle w:val="CDITable-RowCentre"/>
            </w:pPr>
            <w:r w:rsidRPr="001D5BE6">
              <w:t>56.0</w:t>
            </w:r>
          </w:p>
        </w:tc>
        <w:tc>
          <w:tcPr>
            <w:tcW w:w="992" w:type="dxa"/>
            <w:tcBorders>
              <w:bottom w:val="single" w:sz="6" w:space="0" w:color="033636" w:themeColor="text2"/>
            </w:tcBorders>
            <w:tcMar>
              <w:top w:w="100" w:type="dxa"/>
              <w:left w:w="113" w:type="dxa"/>
              <w:bottom w:w="100" w:type="dxa"/>
              <w:right w:w="113" w:type="dxa"/>
            </w:tcMar>
            <w:vAlign w:val="center"/>
          </w:tcPr>
          <w:p w14:paraId="41D5667F" w14:textId="77777777" w:rsidR="001D5BE6" w:rsidRPr="001D5BE6" w:rsidRDefault="001D5BE6" w:rsidP="001E3AC7">
            <w:pPr>
              <w:pStyle w:val="CDITable-RowCentre"/>
            </w:pPr>
            <w:r w:rsidRPr="001D5BE6">
              <w:t>19</w:t>
            </w:r>
          </w:p>
        </w:tc>
        <w:tc>
          <w:tcPr>
            <w:tcW w:w="992" w:type="dxa"/>
            <w:tcBorders>
              <w:bottom w:val="single" w:sz="6" w:space="0" w:color="033636" w:themeColor="text2"/>
            </w:tcBorders>
            <w:tcMar>
              <w:top w:w="100" w:type="dxa"/>
              <w:left w:w="113" w:type="dxa"/>
              <w:bottom w:w="100" w:type="dxa"/>
              <w:right w:w="113" w:type="dxa"/>
            </w:tcMar>
            <w:vAlign w:val="center"/>
          </w:tcPr>
          <w:p w14:paraId="32C9F945" w14:textId="77777777" w:rsidR="001D5BE6" w:rsidRPr="001D5BE6" w:rsidRDefault="001D5BE6" w:rsidP="001E3AC7">
            <w:pPr>
              <w:pStyle w:val="CDITable-RowCentre"/>
            </w:pPr>
            <w:r w:rsidRPr="001D5BE6">
              <w:t>42</w:t>
            </w:r>
          </w:p>
        </w:tc>
        <w:tc>
          <w:tcPr>
            <w:tcW w:w="993" w:type="dxa"/>
            <w:tcBorders>
              <w:bottom w:val="single" w:sz="6" w:space="0" w:color="033636" w:themeColor="text2"/>
            </w:tcBorders>
            <w:tcMar>
              <w:top w:w="100" w:type="dxa"/>
              <w:left w:w="113" w:type="dxa"/>
              <w:bottom w:w="100" w:type="dxa"/>
              <w:right w:w="113" w:type="dxa"/>
            </w:tcMar>
            <w:vAlign w:val="center"/>
          </w:tcPr>
          <w:p w14:paraId="096C8B76" w14:textId="77777777" w:rsidR="001D5BE6" w:rsidRPr="001D5BE6" w:rsidRDefault="001D5BE6" w:rsidP="001E3AC7">
            <w:pPr>
              <w:pStyle w:val="CDITable-RowCentre"/>
            </w:pPr>
            <w:r w:rsidRPr="001D5BE6">
              <w:t>45.2</w:t>
            </w:r>
          </w:p>
        </w:tc>
        <w:tc>
          <w:tcPr>
            <w:tcW w:w="992" w:type="dxa"/>
            <w:tcBorders>
              <w:bottom w:val="single" w:sz="6" w:space="0" w:color="033636" w:themeColor="text2"/>
            </w:tcBorders>
            <w:tcMar>
              <w:top w:w="100" w:type="dxa"/>
              <w:left w:w="113" w:type="dxa"/>
              <w:bottom w:w="100" w:type="dxa"/>
              <w:right w:w="113" w:type="dxa"/>
            </w:tcMar>
            <w:vAlign w:val="center"/>
          </w:tcPr>
          <w:p w14:paraId="242ED49B" w14:textId="77777777" w:rsidR="001D5BE6" w:rsidRPr="001D5BE6" w:rsidRDefault="001D5BE6" w:rsidP="001E3AC7">
            <w:pPr>
              <w:pStyle w:val="CDITable-RowCentre"/>
            </w:pPr>
            <w:r w:rsidRPr="001D5BE6">
              <w:t xml:space="preserve">1.2 </w:t>
            </w:r>
          </w:p>
        </w:tc>
        <w:tc>
          <w:tcPr>
            <w:tcW w:w="992" w:type="dxa"/>
            <w:tcBorders>
              <w:bottom w:val="single" w:sz="6" w:space="0" w:color="033636" w:themeColor="text2"/>
            </w:tcBorders>
            <w:tcMar>
              <w:top w:w="100" w:type="dxa"/>
              <w:left w:w="113" w:type="dxa"/>
              <w:bottom w:w="100" w:type="dxa"/>
              <w:right w:w="113" w:type="dxa"/>
            </w:tcMar>
            <w:vAlign w:val="center"/>
          </w:tcPr>
          <w:p w14:paraId="339F14A1" w14:textId="77777777" w:rsidR="001D5BE6" w:rsidRPr="001D5BE6" w:rsidRDefault="001D5BE6" w:rsidP="001E3AC7">
            <w:pPr>
              <w:pStyle w:val="CDITable-RowCentre"/>
            </w:pPr>
            <w:r w:rsidRPr="001D5BE6">
              <w:t>0.8–2.0</w:t>
            </w:r>
          </w:p>
        </w:tc>
        <w:tc>
          <w:tcPr>
            <w:tcW w:w="992" w:type="dxa"/>
            <w:tcBorders>
              <w:bottom w:val="single" w:sz="6" w:space="0" w:color="033636" w:themeColor="text2"/>
            </w:tcBorders>
            <w:tcMar>
              <w:top w:w="100" w:type="dxa"/>
              <w:left w:w="113" w:type="dxa"/>
              <w:bottom w:w="100" w:type="dxa"/>
              <w:right w:w="113" w:type="dxa"/>
            </w:tcMar>
            <w:vAlign w:val="center"/>
          </w:tcPr>
          <w:p w14:paraId="78E7218D" w14:textId="77777777" w:rsidR="001D5BE6" w:rsidRPr="001D5BE6" w:rsidRDefault="001D5BE6" w:rsidP="001E3AC7">
            <w:pPr>
              <w:pStyle w:val="CDITable-RowCentre"/>
            </w:pPr>
            <w:r w:rsidRPr="001D5BE6">
              <w:t>0.39</w:t>
            </w:r>
          </w:p>
        </w:tc>
        <w:tc>
          <w:tcPr>
            <w:tcW w:w="992" w:type="dxa"/>
            <w:tcBorders>
              <w:bottom w:val="single" w:sz="6" w:space="0" w:color="033636" w:themeColor="text2"/>
            </w:tcBorders>
            <w:tcMar>
              <w:top w:w="100" w:type="dxa"/>
              <w:left w:w="113" w:type="dxa"/>
              <w:bottom w:w="100" w:type="dxa"/>
              <w:right w:w="113" w:type="dxa"/>
            </w:tcMar>
            <w:vAlign w:val="center"/>
          </w:tcPr>
          <w:p w14:paraId="55FF1FD9" w14:textId="77777777" w:rsidR="001D5BE6" w:rsidRPr="001D5BE6" w:rsidRDefault="001D5BE6" w:rsidP="001E3AC7">
            <w:pPr>
              <w:pStyle w:val="CDITable-RowCentre"/>
            </w:pPr>
          </w:p>
        </w:tc>
        <w:tc>
          <w:tcPr>
            <w:tcW w:w="992" w:type="dxa"/>
            <w:tcBorders>
              <w:bottom w:val="single" w:sz="6" w:space="0" w:color="033636" w:themeColor="text2"/>
            </w:tcBorders>
            <w:tcMar>
              <w:top w:w="100" w:type="dxa"/>
              <w:left w:w="113" w:type="dxa"/>
              <w:bottom w:w="100" w:type="dxa"/>
              <w:right w:w="113" w:type="dxa"/>
            </w:tcMar>
            <w:vAlign w:val="center"/>
          </w:tcPr>
          <w:p w14:paraId="3775AAF7" w14:textId="77777777" w:rsidR="001D5BE6" w:rsidRPr="001D5BE6" w:rsidRDefault="001D5BE6" w:rsidP="001E3AC7">
            <w:pPr>
              <w:pStyle w:val="CDITable-RowCentre"/>
            </w:pPr>
          </w:p>
        </w:tc>
        <w:tc>
          <w:tcPr>
            <w:tcW w:w="992" w:type="dxa"/>
            <w:tcBorders>
              <w:bottom w:val="single" w:sz="6" w:space="0" w:color="033636" w:themeColor="text2"/>
            </w:tcBorders>
            <w:tcMar>
              <w:top w:w="100" w:type="dxa"/>
              <w:left w:w="113" w:type="dxa"/>
              <w:bottom w:w="100" w:type="dxa"/>
              <w:right w:w="113" w:type="dxa"/>
            </w:tcMar>
            <w:vAlign w:val="center"/>
          </w:tcPr>
          <w:p w14:paraId="382C851F" w14:textId="77777777" w:rsidR="001D5BE6" w:rsidRPr="001D5BE6" w:rsidRDefault="001D5BE6" w:rsidP="001E3AC7">
            <w:pPr>
              <w:pStyle w:val="CDITable-RowCentre"/>
            </w:pPr>
          </w:p>
        </w:tc>
      </w:tr>
    </w:tbl>
    <w:p w14:paraId="1BE68EDC" w14:textId="77777777" w:rsidR="001A492C" w:rsidRDefault="001A492C" w:rsidP="001A492C">
      <w:pPr>
        <w:pStyle w:val="CDITable-Firstfootnote"/>
        <w:divId w:val="935526654"/>
      </w:pPr>
      <w:proofErr w:type="gramStart"/>
      <w:r>
        <w:t>a</w:t>
      </w:r>
      <w:proofErr w:type="gramEnd"/>
      <w:r>
        <w:tab/>
        <w:t xml:space="preserve">AR: attack rate; RR: risk ratio; CI: confidence interval; </w:t>
      </w:r>
      <w:proofErr w:type="spellStart"/>
      <w:r>
        <w:t>aRR</w:t>
      </w:r>
      <w:proofErr w:type="spellEnd"/>
      <w:r>
        <w:t>: adjusted risk ratio.</w:t>
      </w:r>
    </w:p>
    <w:p w14:paraId="770360B7" w14:textId="77777777" w:rsidR="001A492C" w:rsidRDefault="001A492C" w:rsidP="001A492C">
      <w:pPr>
        <w:pStyle w:val="CDITable-Footnote"/>
        <w:divId w:val="935526654"/>
      </w:pPr>
      <w:r>
        <w:t>b</w:t>
      </w:r>
      <w:r>
        <w:tab/>
        <w:t>Multivariable analysis not performed for roast vegetable sandwiches as these were only eaten at one event.</w:t>
      </w:r>
    </w:p>
    <w:p w14:paraId="4972E5BC" w14:textId="3CF0DA22" w:rsidR="001A492C" w:rsidRDefault="001A492C" w:rsidP="001D5BE6">
      <w:pPr>
        <w:pStyle w:val="CDITable-Footnote"/>
        <w:divId w:val="935526654"/>
      </w:pPr>
      <w:r>
        <w:t>c</w:t>
      </w:r>
      <w:r>
        <w:tab/>
        <w:t>Hot food included mini pies, sausage rolls and quiches.</w:t>
      </w:r>
    </w:p>
    <w:p w14:paraId="74533559" w14:textId="77777777" w:rsidR="001A492C" w:rsidRDefault="001A492C" w:rsidP="00513453">
      <w:pPr>
        <w:divId w:val="935526654"/>
        <w:rPr>
          <w:lang w:val="en-GB"/>
        </w:rPr>
        <w:sectPr w:rsidR="001A492C" w:rsidSect="001A492C">
          <w:footnotePr>
            <w:numFmt w:val="lowerRoman"/>
          </w:footnotePr>
          <w:pgSz w:w="16840" w:h="11907" w:orient="landscape" w:code="9"/>
          <w:pgMar w:top="1134" w:right="1134" w:bottom="1134" w:left="1304" w:header="709" w:footer="567" w:gutter="0"/>
          <w:cols w:space="708"/>
          <w:docGrid w:linePitch="360"/>
          <w15:footnoteColumns w:val="1"/>
        </w:sectPr>
      </w:pPr>
    </w:p>
    <w:p w14:paraId="10CC5711" w14:textId="579AD617" w:rsidR="00513453" w:rsidRDefault="00513453" w:rsidP="00F576E5">
      <w:pPr>
        <w:pStyle w:val="Heading2-nospacebefore"/>
        <w:divId w:val="935526654"/>
      </w:pPr>
      <w:r>
        <w:lastRenderedPageBreak/>
        <w:t>Environmental Health investigation</w:t>
      </w:r>
    </w:p>
    <w:p w14:paraId="2AD6D471" w14:textId="77777777" w:rsidR="00513453" w:rsidRPr="00513453" w:rsidRDefault="00513453" w:rsidP="00513453">
      <w:pPr>
        <w:divId w:val="935526654"/>
        <w:rPr>
          <w:lang w:val="en-GB"/>
        </w:rPr>
      </w:pPr>
      <w:r w:rsidRPr="00513453">
        <w:rPr>
          <w:lang w:val="en-GB"/>
        </w:rPr>
        <w:t xml:space="preserve">The proprietor had received a complaint directly from a customer and was anticipating the inspection. The premises were generally clean and well maintained. Staff were wearing gloves and hairnets during food preparation, hand washing facilities were equipped with soap and paper towels; chemical all-purpose sanitiser was </w:t>
      </w:r>
      <w:proofErr w:type="gramStart"/>
      <w:r w:rsidRPr="00513453">
        <w:rPr>
          <w:lang w:val="en-GB"/>
        </w:rPr>
        <w:t>present, but</w:t>
      </w:r>
      <w:proofErr w:type="gramEnd"/>
      <w:r w:rsidRPr="00513453">
        <w:rPr>
          <w:lang w:val="en-GB"/>
        </w:rPr>
        <w:t xml:space="preserve"> running low. It was noted that the business had previously been implicated in a foodborne norovirus outbreak in 2019. </w:t>
      </w:r>
    </w:p>
    <w:p w14:paraId="0EA0AF39" w14:textId="77777777" w:rsidR="00513453" w:rsidRPr="00513453" w:rsidRDefault="00513453" w:rsidP="00513453">
      <w:pPr>
        <w:divId w:val="935526654"/>
        <w:rPr>
          <w:lang w:val="en-GB"/>
        </w:rPr>
      </w:pPr>
      <w:r w:rsidRPr="00513453">
        <w:rPr>
          <w:lang w:val="en-GB"/>
        </w:rPr>
        <w:t xml:space="preserve">There were three major issues where the business was not compliant with the </w:t>
      </w:r>
      <w:r w:rsidRPr="00513453">
        <w:rPr>
          <w:i/>
          <w:iCs/>
          <w:lang w:val="en-GB"/>
        </w:rPr>
        <w:t>Food Act 2001</w:t>
      </w:r>
      <w:r w:rsidRPr="00513453">
        <w:rPr>
          <w:lang w:val="en-GB"/>
        </w:rPr>
        <w:t xml:space="preserve">. There was no designated food preparation sink; the walk-in freezer floor was not clean and needed replacing to allow effective cleaning; and there was potential for cross contamination of food items in the freezer due to lack of organisation. Other issues that were identified included handwashing sinks in the staff toilets too small to allow effective handwashing, no documented staff exclusion policy, and inadequately maintained staff illness records. </w:t>
      </w:r>
    </w:p>
    <w:p w14:paraId="456ECBB7" w14:textId="77777777" w:rsidR="00513453" w:rsidRPr="00513453" w:rsidRDefault="00513453" w:rsidP="00513453">
      <w:pPr>
        <w:divId w:val="935526654"/>
        <w:rPr>
          <w:lang w:val="en-GB"/>
        </w:rPr>
      </w:pPr>
      <w:r w:rsidRPr="00513453">
        <w:rPr>
          <w:lang w:val="en-GB"/>
        </w:rPr>
        <w:t>Seven statutory food samples and 13 environmental swabs were collected from the premises. There was no remaining food from the catered events available for testing, so food available on the premises on the day of inspection was sampled. As a result of the non-compliances, an Improvement Notice was issued on 23 November 2022 and a follow-up inspection was conducted on 7 December 2022 to review progress and provide hand hygiene and food safety education.</w:t>
      </w:r>
    </w:p>
    <w:p w14:paraId="763238BE" w14:textId="1B9B229C" w:rsidR="00513453" w:rsidRDefault="00513453" w:rsidP="00513453">
      <w:pPr>
        <w:pStyle w:val="Heading2"/>
        <w:divId w:val="935526654"/>
      </w:pPr>
      <w:r>
        <w:t>Laboratory investigation</w:t>
      </w:r>
    </w:p>
    <w:p w14:paraId="465618AF" w14:textId="789AB970" w:rsidR="00513453" w:rsidRDefault="00513453" w:rsidP="00513453">
      <w:pPr>
        <w:pStyle w:val="Heading3"/>
        <w:divId w:val="935526654"/>
      </w:pPr>
      <w:r>
        <w:t>Clinical samples</w:t>
      </w:r>
    </w:p>
    <w:p w14:paraId="50CCE783" w14:textId="77777777" w:rsidR="00513453" w:rsidRPr="00513453" w:rsidRDefault="00513453" w:rsidP="00513453">
      <w:pPr>
        <w:divId w:val="935526654"/>
        <w:rPr>
          <w:lang w:val="en-GB"/>
        </w:rPr>
      </w:pPr>
      <w:r w:rsidRPr="00513453">
        <w:rPr>
          <w:lang w:val="en-GB"/>
        </w:rPr>
        <w:t>Seven faecal specimens were tested from attendees at Events 1, 2 and 3; all were positive for norovirus. All specimens tested negative for other viral and bacterial pathogens. Four specimens were sent for genotyping at the Serology, Virology and OTDS Laboratories (SAViD) NSW Health Pathology Randwick: one from Event 1, two from Event 2, and one from Event 3. Three samples from two events were genomically indistinguishable. One sample had insufficient coverage breadth to call the lineage and genotype.</w:t>
      </w:r>
    </w:p>
    <w:p w14:paraId="65247871" w14:textId="02BCC3A5" w:rsidR="00513453" w:rsidRDefault="00513453" w:rsidP="00513453">
      <w:pPr>
        <w:pStyle w:val="Heading3"/>
        <w:divId w:val="935526654"/>
      </w:pPr>
      <w:r>
        <w:t>Food and environmental samples</w:t>
      </w:r>
    </w:p>
    <w:p w14:paraId="020E0723" w14:textId="77777777" w:rsidR="00513453" w:rsidRPr="00513453" w:rsidRDefault="00513453" w:rsidP="00513453">
      <w:pPr>
        <w:divId w:val="935526654"/>
        <w:rPr>
          <w:lang w:val="en-GB"/>
        </w:rPr>
      </w:pPr>
      <w:r w:rsidRPr="00513453">
        <w:rPr>
          <w:lang w:val="en-GB"/>
        </w:rPr>
        <w:t xml:space="preserve">Seven food samples were tested including roast beef, sandwich egg and chicken mixes, carrot, rice and a sausage roll. Thirteen environmental samples were tested, including a tea towel and two </w:t>
      </w:r>
      <w:proofErr w:type="spellStart"/>
      <w:r w:rsidRPr="00513453">
        <w:rPr>
          <w:lang w:val="en-GB"/>
        </w:rPr>
        <w:t>chux</w:t>
      </w:r>
      <w:proofErr w:type="spellEnd"/>
      <w:r w:rsidRPr="00513453">
        <w:rPr>
          <w:lang w:val="en-GB"/>
        </w:rPr>
        <w:t xml:space="preserve"> cloths, two swabs for </w:t>
      </w:r>
      <w:r w:rsidRPr="00513453">
        <w:rPr>
          <w:i/>
          <w:iCs/>
          <w:lang w:val="en-GB"/>
        </w:rPr>
        <w:t>L. monocytogenes</w:t>
      </w:r>
      <w:r w:rsidRPr="00513453">
        <w:rPr>
          <w:lang w:val="en-GB"/>
        </w:rPr>
        <w:t xml:space="preserve"> from the food preparation sink and sandwich preparation bench and eight swabs for </w:t>
      </w:r>
      <w:r w:rsidRPr="00513453">
        <w:rPr>
          <w:i/>
          <w:iCs/>
          <w:lang w:val="en-GB"/>
        </w:rPr>
        <w:t>Salmonella</w:t>
      </w:r>
      <w:r w:rsidRPr="00513453">
        <w:rPr>
          <w:lang w:val="en-GB"/>
        </w:rPr>
        <w:t xml:space="preserve"> spp. from locations including sandwich preparation benches, the chicken mixing blade, a slicer, chopping boards and the food preparation sink. </w:t>
      </w:r>
    </w:p>
    <w:p w14:paraId="6F348B46" w14:textId="449B3271" w:rsidR="00513453" w:rsidRPr="00513453" w:rsidRDefault="00513453" w:rsidP="00513453">
      <w:pPr>
        <w:divId w:val="935526654"/>
        <w:rPr>
          <w:lang w:val="en-GB"/>
        </w:rPr>
      </w:pPr>
      <w:r w:rsidRPr="00513453">
        <w:rPr>
          <w:i/>
          <w:iCs/>
          <w:lang w:val="en-GB"/>
        </w:rPr>
        <w:t>Salmonella</w:t>
      </w:r>
      <w:r w:rsidRPr="00513453">
        <w:rPr>
          <w:lang w:val="en-GB"/>
        </w:rPr>
        <w:t xml:space="preserve"> spp. and </w:t>
      </w:r>
      <w:r w:rsidRPr="00513453">
        <w:rPr>
          <w:i/>
          <w:iCs/>
          <w:lang w:val="en-GB"/>
        </w:rPr>
        <w:t>L. monocytogenes</w:t>
      </w:r>
      <w:r w:rsidRPr="00513453">
        <w:rPr>
          <w:lang w:val="en-GB"/>
        </w:rPr>
        <w:t xml:space="preserve"> were not detected from any food or environmental samples. </w:t>
      </w:r>
      <w:r w:rsidRPr="00513453">
        <w:rPr>
          <w:i/>
          <w:iCs/>
          <w:lang w:val="en-GB"/>
        </w:rPr>
        <w:t>C.</w:t>
      </w:r>
      <w:r>
        <w:rPr>
          <w:i/>
          <w:iCs/>
          <w:lang w:val="en-GB"/>
        </w:rPr>
        <w:t> </w:t>
      </w:r>
      <w:r w:rsidRPr="00513453">
        <w:rPr>
          <w:i/>
          <w:iCs/>
          <w:lang w:val="en-GB"/>
        </w:rPr>
        <w:t>perfringens</w:t>
      </w:r>
      <w:r w:rsidRPr="00513453">
        <w:rPr>
          <w:lang w:val="en-GB"/>
        </w:rPr>
        <w:t xml:space="preserve"> and </w:t>
      </w:r>
      <w:r w:rsidRPr="00513453">
        <w:rPr>
          <w:i/>
          <w:iCs/>
          <w:lang w:val="en-GB"/>
        </w:rPr>
        <w:t>E. coli</w:t>
      </w:r>
      <w:r w:rsidRPr="00513453">
        <w:rPr>
          <w:lang w:val="en-GB"/>
        </w:rPr>
        <w:t xml:space="preserve"> were not detected at reportable limits in any of the food samples. The roast beef sample returned a marginal SPC result of 1,200,000 </w:t>
      </w:r>
      <w:proofErr w:type="spellStart"/>
      <w:r w:rsidRPr="00513453">
        <w:rPr>
          <w:lang w:val="en-GB"/>
        </w:rPr>
        <w:t>cfu</w:t>
      </w:r>
      <w:proofErr w:type="spellEnd"/>
      <w:r w:rsidRPr="00513453">
        <w:rPr>
          <w:lang w:val="en-GB"/>
        </w:rPr>
        <w:t xml:space="preserve">/g and the remaining food SPC results were satisfactory. Coagulase positive </w:t>
      </w:r>
      <w:r w:rsidRPr="00513453">
        <w:rPr>
          <w:i/>
          <w:iCs/>
          <w:lang w:val="en-GB"/>
        </w:rPr>
        <w:t>Staphylococcus</w:t>
      </w:r>
      <w:r w:rsidRPr="00513453">
        <w:rPr>
          <w:lang w:val="en-GB"/>
        </w:rPr>
        <w:t xml:space="preserve"> spp. was detected in the pre-prepared sandwich egg mix with a marginal count of 500 </w:t>
      </w:r>
      <w:proofErr w:type="spellStart"/>
      <w:r w:rsidRPr="00513453">
        <w:rPr>
          <w:lang w:val="en-GB"/>
        </w:rPr>
        <w:t>cfu</w:t>
      </w:r>
      <w:proofErr w:type="spellEnd"/>
      <w:r w:rsidRPr="00513453">
        <w:rPr>
          <w:lang w:val="en-GB"/>
        </w:rPr>
        <w:t xml:space="preserve">/g. </w:t>
      </w:r>
    </w:p>
    <w:p w14:paraId="1901FF18" w14:textId="77777777" w:rsidR="008A0736" w:rsidRDefault="008A0736" w:rsidP="00BA2598">
      <w:pPr>
        <w:pStyle w:val="Heading1"/>
        <w:divId w:val="935526654"/>
      </w:pPr>
      <w:r w:rsidRPr="00702D05">
        <w:lastRenderedPageBreak/>
        <w:t>Discussion</w:t>
      </w:r>
    </w:p>
    <w:p w14:paraId="026BF072" w14:textId="77777777" w:rsidR="00513453" w:rsidRPr="00513453" w:rsidRDefault="00513453" w:rsidP="00513453">
      <w:pPr>
        <w:divId w:val="935526654"/>
        <w:rPr>
          <w:lang w:val="en-GB"/>
        </w:rPr>
      </w:pPr>
      <w:r w:rsidRPr="00513453">
        <w:rPr>
          <w:lang w:val="en-GB"/>
        </w:rPr>
        <w:t>The epidemiological and microbiological evidence provided from this investigation strongly implicates norovirus as the causative agent of this outbreak. While this outbreak did not meet the Kaplan criteria for norovirus outbreaks due to an illness duration longer than expected, it did meet the more recent and sensitive criteria from Lively et al of a fever-to-vomit-ratio &lt; 1, proportion of cases with bloody stools &lt; 0.1 and proportion of cases with vomiting ≥ 0.26.</w:t>
      </w:r>
      <w:r w:rsidRPr="00513453">
        <w:rPr>
          <w:vertAlign w:val="superscript"/>
          <w:lang w:val="en-GB"/>
        </w:rPr>
        <w:t>12,13</w:t>
      </w:r>
      <w:r w:rsidRPr="00513453">
        <w:rPr>
          <w:lang w:val="en-GB"/>
        </w:rPr>
        <w:t xml:space="preserve"> Norovirus was laboratory-confirmed in all seven clinical specimens by positive NAT, with genotyping indicating norovirus from two events were genomically matched, strongly suggesting a common source. The number of cases, and longer than average illness duration, represent significant morbidity and non-fatal productivity losses.</w:t>
      </w:r>
      <w:r w:rsidRPr="00513453">
        <w:rPr>
          <w:vertAlign w:val="superscript"/>
          <w:lang w:val="en-GB"/>
        </w:rPr>
        <w:t>1</w:t>
      </w:r>
    </w:p>
    <w:p w14:paraId="01F3EACF" w14:textId="77777777" w:rsidR="00513453" w:rsidRPr="00513453" w:rsidRDefault="00513453" w:rsidP="00513453">
      <w:pPr>
        <w:divId w:val="935526654"/>
        <w:rPr>
          <w:lang w:val="en-GB"/>
        </w:rPr>
      </w:pPr>
      <w:r w:rsidRPr="00513453">
        <w:rPr>
          <w:lang w:val="en-GB"/>
        </w:rPr>
        <w:t xml:space="preserve">Cohort studies revealed that illness was associated with several foods on univariate analysis; and on multivariable analysis, with vegetarian rice paper rolls on day one and no specific foods on day two. This was considered consistent with generalised contamination of foods, given there were no foods independently associated with illness by day two. </w:t>
      </w:r>
    </w:p>
    <w:p w14:paraId="0583ACD2" w14:textId="77777777" w:rsidR="00513453" w:rsidRPr="00513453" w:rsidRDefault="00513453" w:rsidP="00513453">
      <w:pPr>
        <w:divId w:val="935526654"/>
        <w:rPr>
          <w:lang w:val="en-GB"/>
        </w:rPr>
      </w:pPr>
      <w:r w:rsidRPr="00513453">
        <w:rPr>
          <w:lang w:val="en-GB"/>
        </w:rPr>
        <w:t xml:space="preserve">The source of the contamination was most likely an infected food handler at the catering business and not a specific ingredient as no outbreaks were detected outside of event attendees and their contacts, and there were foods with unrelated ingredients associated with illness on univariate analysis. It is also not plausible for this outbreak to be attributed to person-to-person transmission rather than food contamination, as disease onsets indicated a point source exposure, and the events were unrelated apart from the common caterer. </w:t>
      </w:r>
    </w:p>
    <w:p w14:paraId="27899F72" w14:textId="77777777" w:rsidR="00513453" w:rsidRPr="00513453" w:rsidRDefault="00513453" w:rsidP="00513453">
      <w:pPr>
        <w:divId w:val="935526654"/>
        <w:rPr>
          <w:lang w:val="en-GB"/>
        </w:rPr>
      </w:pPr>
      <w:r w:rsidRPr="00513453">
        <w:rPr>
          <w:lang w:val="en-GB"/>
        </w:rPr>
        <w:t>Large food-handler-related norovirus outbreaks associated with a centralised catering business have been described worldwide.</w:t>
      </w:r>
      <w:r w:rsidRPr="00513453">
        <w:rPr>
          <w:vertAlign w:val="superscript"/>
          <w:lang w:val="en-GB"/>
        </w:rPr>
        <w:t>14–17</w:t>
      </w:r>
      <w:r w:rsidRPr="00513453">
        <w:rPr>
          <w:lang w:val="en-GB"/>
        </w:rPr>
        <w:t xml:space="preserve"> Viruses are the most common cause of food-handler-related outbreaks, and ready-to-eat foods that don’t undergo a subsequent kill step are the most commonly implicated foods, as occurred in this outbreak.</w:t>
      </w:r>
      <w:r w:rsidRPr="00513453">
        <w:rPr>
          <w:vertAlign w:val="superscript"/>
          <w:lang w:val="en-GB"/>
        </w:rPr>
        <w:t>18,19</w:t>
      </w:r>
      <w:r w:rsidRPr="00513453">
        <w:rPr>
          <w:lang w:val="en-GB"/>
        </w:rPr>
        <w:t xml:space="preserve"> Multiple food items were suspected to be contaminated consistent with food-handler-associated outbreaks, where frequent hand contact occurs with a variety of foods during preparation and serving, as well as during manual preparation of food following cooking.</w:t>
      </w:r>
      <w:r w:rsidRPr="00513453">
        <w:rPr>
          <w:vertAlign w:val="superscript"/>
          <w:lang w:val="en-GB"/>
        </w:rPr>
        <w:t>14,18</w:t>
      </w:r>
    </w:p>
    <w:p w14:paraId="65B69C3C" w14:textId="77777777" w:rsidR="00513453" w:rsidRPr="00513453" w:rsidRDefault="00513453" w:rsidP="00513453">
      <w:pPr>
        <w:divId w:val="935526654"/>
        <w:rPr>
          <w:lang w:val="en-GB"/>
        </w:rPr>
      </w:pPr>
      <w:r w:rsidRPr="00513453">
        <w:rPr>
          <w:lang w:val="en-GB"/>
        </w:rPr>
        <w:t>Viral foodborne outbreaks may involve symptomatic or asymptomatic food handlers.</w:t>
      </w:r>
      <w:r w:rsidRPr="00513453">
        <w:rPr>
          <w:vertAlign w:val="superscript"/>
          <w:lang w:val="en-GB"/>
        </w:rPr>
        <w:t>18–24</w:t>
      </w:r>
      <w:r w:rsidRPr="00513453">
        <w:rPr>
          <w:lang w:val="en-GB"/>
        </w:rPr>
        <w:t xml:space="preserve"> In this outbreak no food handlers reported illness during the exposure period; however, one had a pre-school aged child with gastrointestinal symptoms in the week prior to the outbreak and one developed </w:t>
      </w:r>
      <w:proofErr w:type="gramStart"/>
      <w:r w:rsidRPr="00513453">
        <w:rPr>
          <w:lang w:val="en-GB"/>
        </w:rPr>
        <w:t>symptoms</w:t>
      </w:r>
      <w:proofErr w:type="gramEnd"/>
      <w:r w:rsidRPr="00513453">
        <w:rPr>
          <w:lang w:val="en-GB"/>
        </w:rPr>
        <w:t xml:space="preserve"> at the end of the exposure period. This first food handler was involved in the preparation of many of the foods that were found to be risk factors for illness on univariate analysis. Both food handlers may have been infectious during food preparation despite being asymptomatic. This demonstrates the importance of all food handlers always adopting effective hand hygiene and food handling practices even in the absence of symptoms.</w:t>
      </w:r>
    </w:p>
    <w:p w14:paraId="2994A94A" w14:textId="77777777" w:rsidR="00513453" w:rsidRPr="00513453" w:rsidRDefault="00513453" w:rsidP="00513453">
      <w:pPr>
        <w:divId w:val="935526654"/>
        <w:rPr>
          <w:lang w:val="en-GB"/>
        </w:rPr>
      </w:pPr>
      <w:r w:rsidRPr="00513453">
        <w:rPr>
          <w:lang w:val="en-GB"/>
        </w:rPr>
        <w:t>The environmental health inspection demonstrated inadequate hand washing facilities in the staff toilets; risk of cross-contamination of foods through disorganised storage; and inadequate staff illness records, exclusion policies and procedures. It has been found that there is a high prevalence of environmental contamination among food businesses involved in viral gastroenteritis outbreaks and that norovirus is often detected on bathroom surfaces rather than food preparation areas.</w:t>
      </w:r>
      <w:r w:rsidRPr="00513453">
        <w:rPr>
          <w:vertAlign w:val="superscript"/>
          <w:lang w:val="en-GB"/>
        </w:rPr>
        <w:t>25</w:t>
      </w:r>
      <w:r w:rsidRPr="00513453">
        <w:rPr>
          <w:lang w:val="en-GB"/>
        </w:rPr>
        <w:t xml:space="preserve"> In this outbreak, the handwashing sinks were too small to allow for effective handwashing, potentially allowing transfer of viral particles via contact surfaces.</w:t>
      </w:r>
    </w:p>
    <w:p w14:paraId="472F44DD" w14:textId="77777777" w:rsidR="00513453" w:rsidRPr="00513453" w:rsidRDefault="00513453" w:rsidP="00513453">
      <w:pPr>
        <w:divId w:val="935526654"/>
        <w:rPr>
          <w:lang w:val="en-GB"/>
        </w:rPr>
      </w:pPr>
      <w:r w:rsidRPr="00513453">
        <w:rPr>
          <w:lang w:val="en-GB"/>
        </w:rPr>
        <w:lastRenderedPageBreak/>
        <w:t xml:space="preserve">Coagulase positive </w:t>
      </w:r>
      <w:r w:rsidRPr="00513453">
        <w:rPr>
          <w:i/>
          <w:iCs/>
          <w:lang w:val="en-GB"/>
        </w:rPr>
        <w:t>Staphylococcus</w:t>
      </w:r>
      <w:r w:rsidRPr="00513453">
        <w:rPr>
          <w:lang w:val="en-GB"/>
        </w:rPr>
        <w:t xml:space="preserve"> spp. in the egg sandwich mix sample was within the range of between 10</w:t>
      </w:r>
      <w:r w:rsidRPr="00513453">
        <w:rPr>
          <w:vertAlign w:val="superscript"/>
          <w:lang w:val="en-GB"/>
        </w:rPr>
        <w:t>2</w:t>
      </w:r>
      <w:r w:rsidRPr="00513453">
        <w:rPr>
          <w:lang w:val="en-GB"/>
        </w:rPr>
        <w:t xml:space="preserve"> and 10</w:t>
      </w:r>
      <w:r w:rsidRPr="00513453">
        <w:rPr>
          <w:vertAlign w:val="superscript"/>
          <w:lang w:val="en-GB"/>
        </w:rPr>
        <w:t>3</w:t>
      </w:r>
      <w:r w:rsidRPr="00513453">
        <w:rPr>
          <w:lang w:val="en-GB"/>
        </w:rPr>
        <w:t xml:space="preserve"> </w:t>
      </w:r>
      <w:proofErr w:type="spellStart"/>
      <w:r w:rsidRPr="00513453">
        <w:rPr>
          <w:lang w:val="en-GB"/>
        </w:rPr>
        <w:t>cfu</w:t>
      </w:r>
      <w:proofErr w:type="spellEnd"/>
      <w:r w:rsidRPr="00513453">
        <w:rPr>
          <w:lang w:val="en-GB"/>
        </w:rPr>
        <w:t xml:space="preserve">/g, a marginal result as determined by the FSANZ </w:t>
      </w:r>
      <w:r w:rsidRPr="00513453">
        <w:rPr>
          <w:i/>
          <w:iCs/>
          <w:lang w:val="en-GB"/>
        </w:rPr>
        <w:t>Compendium of Microbiological Criteria for Food</w:t>
      </w:r>
      <w:r w:rsidRPr="00513453">
        <w:rPr>
          <w:lang w:val="en-GB"/>
        </w:rPr>
        <w:t>. This may be indicative of poor hand hygiene and food handling controls and proactive investigation ensuring hygiene practices and the effective implementation of temperature controls is recommended.</w:t>
      </w:r>
      <w:r w:rsidRPr="00513453">
        <w:rPr>
          <w:vertAlign w:val="superscript"/>
          <w:lang w:val="en-GB"/>
        </w:rPr>
        <w:t>2</w:t>
      </w:r>
      <w:r w:rsidRPr="00513453">
        <w:rPr>
          <w:lang w:val="en-GB"/>
        </w:rPr>
        <w:t xml:space="preserve"> The roast beef sample also had a marginally raised SPC which is an indicator of the microbiological quality of food, providing further evidence that improved hygiene and food handling processes are required.</w:t>
      </w:r>
    </w:p>
    <w:p w14:paraId="608C9946" w14:textId="77777777" w:rsidR="00513453" w:rsidRPr="00513453" w:rsidRDefault="00513453" w:rsidP="00513453">
      <w:pPr>
        <w:divId w:val="935526654"/>
        <w:rPr>
          <w:lang w:val="en-GB"/>
        </w:rPr>
      </w:pPr>
      <w:r w:rsidRPr="00513453">
        <w:rPr>
          <w:lang w:val="en-GB"/>
        </w:rPr>
        <w:t>One of the strengths of this investigation was the collection of faecal specimens from attendees at multiple events, enabling confirmation of the aetiologic agent and confirmation that viruses detected at more than one event were genetically related. This was due in part to the delivery of faecal collection kits to cases by ACT Health staff. Persons affected by similar outbreaks often do not have faecal specimens tested, the aetiological agent cannot be confirmed, and transmission patterns cannot be confirmed using genomics.</w:t>
      </w:r>
      <w:r w:rsidRPr="00513453">
        <w:rPr>
          <w:vertAlign w:val="superscript"/>
          <w:lang w:val="en-GB"/>
        </w:rPr>
        <w:t>15</w:t>
      </w:r>
    </w:p>
    <w:p w14:paraId="0DF04776" w14:textId="77777777" w:rsidR="00513453" w:rsidRPr="00513453" w:rsidRDefault="00513453" w:rsidP="00513453">
      <w:pPr>
        <w:divId w:val="935526654"/>
        <w:rPr>
          <w:lang w:val="en-GB"/>
        </w:rPr>
      </w:pPr>
      <w:r w:rsidRPr="00513453">
        <w:rPr>
          <w:lang w:val="en-GB"/>
        </w:rPr>
        <w:t>Limitations of the investigation include the inability to test for viral contamination of foods and environmental surfaces to definitively correlate human infection with environmental and food contamination, as well as the inability to definitively confirm the suspected source of the outbreak through testing of food handlers for norovirus. The testing of food handlers for norovirus is not routinely performed as part of foodborne outbreak investigations in Australian jurisdictions but may assist public health authorities in understanding the mechanisms of contamination of large catering-associated foodborne disease outbreaks and is recommended in studies.</w:t>
      </w:r>
      <w:r w:rsidRPr="00513453">
        <w:rPr>
          <w:vertAlign w:val="superscript"/>
          <w:lang w:val="en-GB"/>
        </w:rPr>
        <w:t>14,15,26</w:t>
      </w:r>
      <w:r w:rsidRPr="00513453">
        <w:rPr>
          <w:lang w:val="en-GB"/>
        </w:rPr>
        <w:t xml:space="preserve"> This is of importance as casual workers are unlikely to admit to mild symptoms of gastroenteritis.</w:t>
      </w:r>
    </w:p>
    <w:p w14:paraId="55F22E51" w14:textId="77777777" w:rsidR="00513453" w:rsidRPr="00513453" w:rsidRDefault="00513453" w:rsidP="00513453">
      <w:pPr>
        <w:divId w:val="935526654"/>
        <w:rPr>
          <w:lang w:val="en-GB"/>
        </w:rPr>
      </w:pPr>
      <w:r w:rsidRPr="00513453">
        <w:rPr>
          <w:lang w:val="en-GB"/>
        </w:rPr>
        <w:t>There were two large foodborne norovirus outbreaks reported in the ACT in 2021 and 2022.</w:t>
      </w:r>
      <w:r w:rsidRPr="00513453">
        <w:rPr>
          <w:vertAlign w:val="superscript"/>
          <w:lang w:val="en-GB"/>
        </w:rPr>
        <w:t>27</w:t>
      </w:r>
      <w:r w:rsidRPr="00513453">
        <w:rPr>
          <w:lang w:val="en-GB"/>
        </w:rPr>
        <w:t xml:space="preserve"> It has been found that knowledge of norovirus among food handlers is generally low, and lower in catering companies compared to institutional settings.</w:t>
      </w:r>
      <w:r w:rsidRPr="00513453">
        <w:rPr>
          <w:vertAlign w:val="superscript"/>
          <w:lang w:val="en-GB"/>
        </w:rPr>
        <w:t>28</w:t>
      </w:r>
      <w:r w:rsidRPr="00513453">
        <w:rPr>
          <w:lang w:val="en-GB"/>
        </w:rPr>
        <w:t xml:space="preserve"> Catering businesses in the ACT should be reminded of appropriate hand hygiene and food handling practices, as well as the exclusion from work requirements for food handlers with gastroenteritis, to assist in prevention of these outbreaks.</w:t>
      </w:r>
    </w:p>
    <w:p w14:paraId="46E7B8F6" w14:textId="77777777" w:rsidR="00513453" w:rsidRPr="00513453" w:rsidRDefault="00513453" w:rsidP="00513453">
      <w:pPr>
        <w:divId w:val="935526654"/>
        <w:rPr>
          <w:lang w:val="en-GB"/>
        </w:rPr>
      </w:pPr>
      <w:r w:rsidRPr="00513453">
        <w:rPr>
          <w:lang w:val="en-GB"/>
        </w:rPr>
        <w:t>Finally, this norovirus outbreak was the second large foodborne norovirus outbreak attributed to this caterer in the past four years. On discussion with the proprietor of the business it was clear that they had not understood that the previous outbreak investigation in 2019 attributed that outbreak to the catering company. While it has been found that norovirus outbreaks may be associated with frequently penalised catering services, there is no literature related to services implicated in recurrent outbreaks.</w:t>
      </w:r>
      <w:r w:rsidRPr="00513453">
        <w:rPr>
          <w:vertAlign w:val="superscript"/>
          <w:lang w:val="en-GB"/>
        </w:rPr>
        <w:t>29</w:t>
      </w:r>
      <w:r w:rsidRPr="00513453">
        <w:rPr>
          <w:lang w:val="en-GB"/>
        </w:rPr>
        <w:t xml:space="preserve"> It is important that businesses implicated in foodborne disease outbreaks are informed of and understand the findings of outbreak investigations </w:t>
      </w:r>
      <w:proofErr w:type="gramStart"/>
      <w:r w:rsidRPr="00513453">
        <w:rPr>
          <w:lang w:val="en-GB"/>
        </w:rPr>
        <w:t>in order to</w:t>
      </w:r>
      <w:proofErr w:type="gramEnd"/>
      <w:r w:rsidRPr="00513453">
        <w:rPr>
          <w:lang w:val="en-GB"/>
        </w:rPr>
        <w:t xml:space="preserve"> modify and maintain food safety practices.</w:t>
      </w:r>
    </w:p>
    <w:p w14:paraId="49E56A26" w14:textId="7486BCA8" w:rsidR="000D1897" w:rsidRDefault="00513453" w:rsidP="000D1897">
      <w:pPr>
        <w:rPr>
          <w:lang w:val="en-GB"/>
        </w:rPr>
      </w:pPr>
      <w:r w:rsidRPr="00513453">
        <w:rPr>
          <w:lang w:val="en-GB"/>
        </w:rPr>
        <w:t xml:space="preserve">This outbreak investigation demonstrates the significant morbidity and loss of productivity that foodborne norovirus outbreaks </w:t>
      </w:r>
      <w:proofErr w:type="gramStart"/>
      <w:r w:rsidRPr="00513453">
        <w:rPr>
          <w:lang w:val="en-GB"/>
        </w:rPr>
        <w:t>cause and the importance of effective hand hygiene and food handling practices at all times</w:t>
      </w:r>
      <w:proofErr w:type="gramEnd"/>
      <w:r w:rsidRPr="00513453">
        <w:rPr>
          <w:lang w:val="en-GB"/>
        </w:rPr>
        <w:t>, given asymptomatic individuals can excrete and transmit norovirus.</w:t>
      </w:r>
      <w:r w:rsidR="000D1897">
        <w:rPr>
          <w:lang w:val="en-GB"/>
        </w:rPr>
        <w:br w:type="page"/>
      </w:r>
    </w:p>
    <w:p w14:paraId="71F37017" w14:textId="77777777" w:rsidR="008A0736" w:rsidRPr="00702D05" w:rsidRDefault="008A0736" w:rsidP="008A0736">
      <w:pPr>
        <w:pStyle w:val="Heading1"/>
        <w:divId w:val="935526654"/>
        <w:rPr>
          <w:lang w:val="en-GB"/>
        </w:rPr>
      </w:pPr>
      <w:r>
        <w:rPr>
          <w:lang w:val="en-GB"/>
        </w:rPr>
        <w:lastRenderedPageBreak/>
        <w:t>Acknowledgments</w:t>
      </w:r>
    </w:p>
    <w:p w14:paraId="18A9F096" w14:textId="77777777" w:rsidR="00513453" w:rsidRPr="00513453" w:rsidRDefault="00513453" w:rsidP="00513453">
      <w:pPr>
        <w:divId w:val="935526654"/>
        <w:rPr>
          <w:lang w:val="en-GB"/>
        </w:rPr>
      </w:pPr>
      <w:r w:rsidRPr="00513453">
        <w:rPr>
          <w:lang w:val="en-GB"/>
        </w:rPr>
        <w:t xml:space="preserve">We thank the staff of the Health Protection Services, ACT Health for their support during the outbreak investigation. </w:t>
      </w:r>
      <w:proofErr w:type="gramStart"/>
      <w:r w:rsidRPr="00513453">
        <w:rPr>
          <w:lang w:val="en-GB"/>
        </w:rPr>
        <w:t>Particular thanks</w:t>
      </w:r>
      <w:proofErr w:type="gramEnd"/>
      <w:r w:rsidRPr="00513453">
        <w:rPr>
          <w:lang w:val="en-GB"/>
        </w:rPr>
        <w:t xml:space="preserve"> go to Mr Arif Mirza and Mr Jason Drinkwater for their role in the environmental investigation. We also thank Associate Professor Dan Chateau and Dr </w:t>
      </w:r>
      <w:proofErr w:type="spellStart"/>
      <w:r w:rsidRPr="00513453">
        <w:rPr>
          <w:lang w:val="en-GB"/>
        </w:rPr>
        <w:t>Tsheten</w:t>
      </w:r>
      <w:proofErr w:type="spellEnd"/>
      <w:r w:rsidRPr="00513453">
        <w:rPr>
          <w:lang w:val="en-GB"/>
        </w:rPr>
        <w:t xml:space="preserve"> </w:t>
      </w:r>
      <w:proofErr w:type="spellStart"/>
      <w:r w:rsidRPr="00513453">
        <w:rPr>
          <w:lang w:val="en-GB"/>
        </w:rPr>
        <w:t>Tsheten</w:t>
      </w:r>
      <w:proofErr w:type="spellEnd"/>
      <w:r w:rsidRPr="00513453">
        <w:rPr>
          <w:lang w:val="en-GB"/>
        </w:rPr>
        <w:t xml:space="preserve"> from the Australian National University for their statistical advice.</w:t>
      </w:r>
    </w:p>
    <w:p w14:paraId="4A7F6EC0" w14:textId="77777777" w:rsidR="00513453" w:rsidRPr="00513453" w:rsidRDefault="00513453" w:rsidP="00513453">
      <w:pPr>
        <w:divId w:val="935526654"/>
        <w:rPr>
          <w:lang w:val="en-GB"/>
        </w:rPr>
      </w:pPr>
      <w:r w:rsidRPr="00513453">
        <w:rPr>
          <w:lang w:val="en-GB"/>
        </w:rPr>
        <w:t>Alison Chew is a Master of Philosophy in Applied Epidemiology (MAE) scholar with the Australian National University and is supported by an MAE scholarship.</w:t>
      </w:r>
    </w:p>
    <w:p w14:paraId="15C8A7CD" w14:textId="77777777" w:rsidR="00513453" w:rsidRPr="00513453" w:rsidRDefault="00513453" w:rsidP="00513453">
      <w:pPr>
        <w:divId w:val="935526654"/>
        <w:rPr>
          <w:lang w:val="en-GB"/>
        </w:rPr>
      </w:pPr>
      <w:r w:rsidRPr="00513453">
        <w:rPr>
          <w:lang w:val="en-GB"/>
        </w:rPr>
        <w:t>We declare no conflicts of interest.</w:t>
      </w:r>
    </w:p>
    <w:p w14:paraId="2136EC94" w14:textId="77777777" w:rsidR="008A0736" w:rsidRDefault="008A0736" w:rsidP="008A0736">
      <w:pPr>
        <w:pStyle w:val="Heading1"/>
        <w:divId w:val="935526654"/>
      </w:pPr>
      <w:r>
        <w:t>Author details</w:t>
      </w:r>
    </w:p>
    <w:p w14:paraId="6378FFAB" w14:textId="77777777" w:rsidR="00513453" w:rsidRPr="00513453" w:rsidRDefault="00513453" w:rsidP="00513453">
      <w:pPr>
        <w:divId w:val="935526654"/>
        <w:rPr>
          <w:lang w:val="en-GB"/>
        </w:rPr>
      </w:pPr>
      <w:r w:rsidRPr="00513453">
        <w:rPr>
          <w:lang w:val="en-GB"/>
        </w:rPr>
        <w:t>Dr Alison Chew</w:t>
      </w:r>
      <w:r w:rsidRPr="00513453">
        <w:rPr>
          <w:vertAlign w:val="superscript"/>
          <w:lang w:val="en-GB"/>
        </w:rPr>
        <w:t>1,2</w:t>
      </w:r>
    </w:p>
    <w:p w14:paraId="33F51F82" w14:textId="77777777" w:rsidR="00513453" w:rsidRPr="00513453" w:rsidRDefault="00513453" w:rsidP="00513453">
      <w:pPr>
        <w:pStyle w:val="Normal-lessspace"/>
        <w:divId w:val="935526654"/>
      </w:pPr>
      <w:r w:rsidRPr="00513453">
        <w:t>Felicity Greenville</w:t>
      </w:r>
      <w:r w:rsidRPr="00513453">
        <w:rPr>
          <w:vertAlign w:val="superscript"/>
        </w:rPr>
        <w:t>2</w:t>
      </w:r>
    </w:p>
    <w:p w14:paraId="5DC696A4" w14:textId="77777777" w:rsidR="00513453" w:rsidRPr="00513453" w:rsidRDefault="00513453" w:rsidP="00513453">
      <w:pPr>
        <w:pStyle w:val="Normal-lessspace"/>
        <w:divId w:val="935526654"/>
      </w:pPr>
      <w:r w:rsidRPr="00513453">
        <w:t>Dr Nevada Pingault</w:t>
      </w:r>
      <w:r w:rsidRPr="00513453">
        <w:rPr>
          <w:vertAlign w:val="superscript"/>
        </w:rPr>
        <w:t>2</w:t>
      </w:r>
    </w:p>
    <w:p w14:paraId="268DF84F" w14:textId="77777777" w:rsidR="00513453" w:rsidRPr="00513453" w:rsidRDefault="00513453" w:rsidP="00513453">
      <w:pPr>
        <w:pStyle w:val="Normal-lessspace"/>
        <w:divId w:val="935526654"/>
      </w:pPr>
      <w:r w:rsidRPr="00513453">
        <w:t>Siobhan Barrett</w:t>
      </w:r>
      <w:r w:rsidRPr="00513453">
        <w:rPr>
          <w:vertAlign w:val="superscript"/>
        </w:rPr>
        <w:t>3</w:t>
      </w:r>
    </w:p>
    <w:p w14:paraId="2F7BA34D" w14:textId="77777777" w:rsidR="00513453" w:rsidRPr="00513453" w:rsidRDefault="00513453" w:rsidP="00513453">
      <w:pPr>
        <w:pStyle w:val="Normal-lessspace"/>
        <w:divId w:val="935526654"/>
      </w:pPr>
      <w:r w:rsidRPr="00513453">
        <w:t>Natasha Waters</w:t>
      </w:r>
      <w:r w:rsidRPr="00513453">
        <w:rPr>
          <w:vertAlign w:val="superscript"/>
        </w:rPr>
        <w:t>3</w:t>
      </w:r>
    </w:p>
    <w:p w14:paraId="35348815" w14:textId="77777777" w:rsidR="00513453" w:rsidRPr="00513453" w:rsidRDefault="00513453" w:rsidP="00513453">
      <w:pPr>
        <w:pStyle w:val="Normal-lessspace"/>
        <w:divId w:val="935526654"/>
      </w:pPr>
      <w:r w:rsidRPr="00513453">
        <w:t>Lyndell Hudson</w:t>
      </w:r>
      <w:r w:rsidRPr="00513453">
        <w:rPr>
          <w:vertAlign w:val="superscript"/>
        </w:rPr>
        <w:t>4</w:t>
      </w:r>
    </w:p>
    <w:p w14:paraId="3B554F91" w14:textId="77777777" w:rsidR="00513453" w:rsidRPr="00513453" w:rsidRDefault="00513453" w:rsidP="00513453">
      <w:pPr>
        <w:pStyle w:val="Normal-lessspace"/>
        <w:divId w:val="935526654"/>
      </w:pPr>
      <w:r w:rsidRPr="00513453">
        <w:t>Jenny Post</w:t>
      </w:r>
      <w:r w:rsidRPr="00513453">
        <w:rPr>
          <w:vertAlign w:val="superscript"/>
        </w:rPr>
        <w:t>2</w:t>
      </w:r>
    </w:p>
    <w:p w14:paraId="52DA4185" w14:textId="77777777" w:rsidR="00513453" w:rsidRPr="00513453" w:rsidRDefault="00513453" w:rsidP="00513453">
      <w:pPr>
        <w:pStyle w:val="CDINumberedList1-L1"/>
        <w:divId w:val="935526654"/>
      </w:pPr>
      <w:r w:rsidRPr="00513453">
        <w:t>National Centre for Epidemiology and Population Health, Australian National University, Acton, Australia</w:t>
      </w:r>
    </w:p>
    <w:p w14:paraId="1A106EF9" w14:textId="77777777" w:rsidR="00513453" w:rsidRPr="00513453" w:rsidRDefault="00513453" w:rsidP="00513453">
      <w:pPr>
        <w:pStyle w:val="CDINumberedList1-L1lessspace"/>
        <w:divId w:val="935526654"/>
      </w:pPr>
      <w:r w:rsidRPr="00513453">
        <w:t>Communicable Disease Control, Health Protection Service, Public Health Protection and Regulation, ACT Health Directorate</w:t>
      </w:r>
    </w:p>
    <w:p w14:paraId="037E1044" w14:textId="77777777" w:rsidR="00513453" w:rsidRPr="00513453" w:rsidRDefault="00513453" w:rsidP="00513453">
      <w:pPr>
        <w:pStyle w:val="CDINumberedList1-L1lessspace"/>
        <w:divId w:val="935526654"/>
      </w:pPr>
      <w:r w:rsidRPr="00513453">
        <w:t>ACT Government Analytical Laboratory, Research, Programs and Scientific Services, Public Health Protection and Regulation, ACT Health Directorate</w:t>
      </w:r>
    </w:p>
    <w:p w14:paraId="1642B0F6" w14:textId="77777777" w:rsidR="00513453" w:rsidRPr="00513453" w:rsidRDefault="00513453" w:rsidP="00513453">
      <w:pPr>
        <w:pStyle w:val="CDINumberedList1-L1lessspace"/>
        <w:divId w:val="935526654"/>
      </w:pPr>
      <w:r w:rsidRPr="00513453">
        <w:t>Environmental Health, Health Protection Service, Public Health Protection and Regulation, ACT Health Directorate</w:t>
      </w:r>
    </w:p>
    <w:p w14:paraId="5D6B4CAE" w14:textId="77777777" w:rsidR="00AC7CD7" w:rsidRDefault="00AC7CD7" w:rsidP="00AC7CD7">
      <w:pPr>
        <w:pStyle w:val="Authordetails"/>
        <w:divId w:val="935526654"/>
      </w:pPr>
      <w:r>
        <w:t>Corresponding author</w:t>
      </w:r>
    </w:p>
    <w:p w14:paraId="1441AA67" w14:textId="77777777" w:rsidR="00513453" w:rsidRPr="00513453" w:rsidRDefault="00513453" w:rsidP="00513453">
      <w:pPr>
        <w:divId w:val="935526654"/>
        <w:rPr>
          <w:lang w:val="en-GB"/>
        </w:rPr>
      </w:pPr>
      <w:r w:rsidRPr="00513453">
        <w:rPr>
          <w:lang w:val="en-GB"/>
        </w:rPr>
        <w:t>Dr Alison Chew</w:t>
      </w:r>
    </w:p>
    <w:p w14:paraId="3632EB30" w14:textId="77777777" w:rsidR="00513453" w:rsidRPr="00513453" w:rsidRDefault="00513453" w:rsidP="00513453">
      <w:pPr>
        <w:pStyle w:val="Normal-lessspace"/>
        <w:divId w:val="935526654"/>
      </w:pPr>
      <w:r w:rsidRPr="00513453">
        <w:t>National Centre for Epidemiology and Population Health, Australian National University, Acton, ACT</w:t>
      </w:r>
    </w:p>
    <w:p w14:paraId="5A756C00" w14:textId="77777777" w:rsidR="00513453" w:rsidRPr="00513453" w:rsidRDefault="00513453" w:rsidP="00513453">
      <w:pPr>
        <w:pStyle w:val="Normal-lessspace"/>
        <w:divId w:val="935526654"/>
      </w:pPr>
      <w:r w:rsidRPr="00513453">
        <w:t>Telephone: +61 431 347 394</w:t>
      </w:r>
    </w:p>
    <w:p w14:paraId="03FDA66D" w14:textId="293FBFE5" w:rsidR="008A0736" w:rsidRPr="007A2D74" w:rsidRDefault="00513453" w:rsidP="00513453">
      <w:pPr>
        <w:pStyle w:val="Normal-lessspace"/>
        <w:divId w:val="935526654"/>
      </w:pPr>
      <w:r w:rsidRPr="00513453">
        <w:t>Email: alison.chew@anu.edu.au</w:t>
      </w:r>
      <w:r w:rsidR="008A0736" w:rsidRPr="007A2D74">
        <w:br w:type="page"/>
      </w:r>
    </w:p>
    <w:p w14:paraId="34E644A4" w14:textId="77777777" w:rsidR="008A0736" w:rsidRDefault="008A0736" w:rsidP="00122ADA">
      <w:pPr>
        <w:pStyle w:val="Heading1"/>
        <w:divId w:val="935526654"/>
      </w:pPr>
      <w:r>
        <w:lastRenderedPageBreak/>
        <w:t>References</w:t>
      </w:r>
    </w:p>
    <w:p w14:paraId="02FE3465" w14:textId="4D9B61C6" w:rsidR="001A492C" w:rsidRDefault="001A492C" w:rsidP="001A492C">
      <w:pPr>
        <w:pStyle w:val="CDINumberedList1-L1"/>
        <w:numPr>
          <w:ilvl w:val="0"/>
          <w:numId w:val="34"/>
        </w:numPr>
        <w:divId w:val="935526654"/>
      </w:pPr>
      <w:r>
        <w:t xml:space="preserve">Australian National University (ANU). </w:t>
      </w:r>
      <w:r w:rsidRPr="001A492C">
        <w:rPr>
          <w:i/>
          <w:iCs/>
        </w:rPr>
        <w:t>The annual cost of foodborne illness in Australia</w:t>
      </w:r>
      <w:r>
        <w:t xml:space="preserve">. Canberra: ANU, National Centre for Epidemiology and Population Health, Research School of Population Health; 15 September 2022. [Accessed on 1 February 2023.] Available from: </w:t>
      </w:r>
      <w:hyperlink r:id="rId16" w:history="1">
        <w:r w:rsidRPr="000D1897">
          <w:rPr>
            <w:rStyle w:val="Hyperlink"/>
          </w:rPr>
          <w:t>https://www.foodstandards.gov.au/sites/default/files/publications/Documents/ANU%20Foodborne%20Disease%20Final%20Report.pdf</w:t>
        </w:r>
      </w:hyperlink>
      <w:r>
        <w:t>.</w:t>
      </w:r>
    </w:p>
    <w:p w14:paraId="6D2CBDFC" w14:textId="6CE10995" w:rsidR="001A492C" w:rsidRPr="001A492C" w:rsidRDefault="001A492C" w:rsidP="001A492C">
      <w:pPr>
        <w:pStyle w:val="CDINumberedList1-L1"/>
        <w:divId w:val="935526654"/>
      </w:pPr>
      <w:r>
        <w:t xml:space="preserve">Food Standards Australia New Zealand (FSANZ). </w:t>
      </w:r>
      <w:r w:rsidRPr="001A492C">
        <w:rPr>
          <w:i/>
          <w:iCs/>
        </w:rPr>
        <w:t>Compendium of microbiological criteria for food</w:t>
      </w:r>
      <w:r>
        <w:t xml:space="preserve">. Canberra: FSANZ; March 2022. [Accessed on 27 October 2023.] Available from: </w:t>
      </w:r>
      <w:hyperlink r:id="rId17" w:history="1">
        <w:r w:rsidR="000D1897" w:rsidRPr="0005488A">
          <w:rPr>
            <w:rStyle w:val="Hyperlink"/>
            <w:spacing w:val="-4"/>
          </w:rPr>
          <w:t>https://www.foodstandards.gov.au/publications/Documents/Compendium_revised%20Dec%202022.pdf</w:t>
        </w:r>
      </w:hyperlink>
      <w:r w:rsidRPr="000D1897">
        <w:rPr>
          <w:spacing w:val="-4"/>
        </w:rPr>
        <w:t>.</w:t>
      </w:r>
    </w:p>
    <w:p w14:paraId="68816EB3" w14:textId="5B67097C" w:rsidR="001A492C" w:rsidRPr="001A492C" w:rsidRDefault="001A492C" w:rsidP="001A492C">
      <w:pPr>
        <w:pStyle w:val="CDINumberedList1-L1"/>
        <w:divId w:val="935526654"/>
      </w:pPr>
      <w:r>
        <w:t xml:space="preserve">FSANZ. </w:t>
      </w:r>
      <w:r w:rsidRPr="001A492C">
        <w:rPr>
          <w:i/>
          <w:iCs/>
        </w:rPr>
        <w:t>Agents of foodborne illness: norovirus</w:t>
      </w:r>
      <w:r>
        <w:t xml:space="preserve">. Canberra: FSANZ; November 2017. Available from: </w:t>
      </w:r>
      <w:hyperlink r:id="rId18" w:history="1">
        <w:r w:rsidR="000D1897" w:rsidRPr="0005488A">
          <w:rPr>
            <w:rStyle w:val="Hyperlink"/>
          </w:rPr>
          <w:t>https://www.foodstandards.gov.au/publications/Documents/agents-foodborne-illness-norovirusnov17.pdf</w:t>
        </w:r>
      </w:hyperlink>
      <w:r w:rsidRPr="001A492C">
        <w:t>.</w:t>
      </w:r>
    </w:p>
    <w:p w14:paraId="4880A710" w14:textId="667D0E78" w:rsidR="001A492C" w:rsidRDefault="001A492C" w:rsidP="001A492C">
      <w:pPr>
        <w:pStyle w:val="CDINumberedList1-L1"/>
        <w:divId w:val="935526654"/>
      </w:pPr>
      <w:proofErr w:type="spellStart"/>
      <w:r>
        <w:t>Huynen</w:t>
      </w:r>
      <w:proofErr w:type="spellEnd"/>
      <w:r>
        <w:t xml:space="preserve"> P, </w:t>
      </w:r>
      <w:proofErr w:type="spellStart"/>
      <w:r>
        <w:t>Mauroy</w:t>
      </w:r>
      <w:proofErr w:type="spellEnd"/>
      <w:r>
        <w:t xml:space="preserve"> A, Martin C, Savadogo LGB, </w:t>
      </w:r>
      <w:proofErr w:type="spellStart"/>
      <w:r>
        <w:t>Boreux</w:t>
      </w:r>
      <w:proofErr w:type="spellEnd"/>
      <w:r>
        <w:t xml:space="preserve"> R, Thiry E et al. Molecular epidemiology of norovirus infections in symptomatic and asymptomatic children from Bobo Dioulasso, Burkina Faso. </w:t>
      </w:r>
      <w:r w:rsidRPr="00DE110C">
        <w:rPr>
          <w:i/>
          <w:iCs/>
        </w:rPr>
        <w:t>J</w:t>
      </w:r>
      <w:r w:rsidR="000D1897" w:rsidRPr="00DE110C">
        <w:rPr>
          <w:i/>
          <w:iCs/>
        </w:rPr>
        <w:t> </w:t>
      </w:r>
      <w:r w:rsidRPr="00DE110C">
        <w:rPr>
          <w:i/>
          <w:iCs/>
        </w:rPr>
        <w:t xml:space="preserve">Clin </w:t>
      </w:r>
      <w:proofErr w:type="spellStart"/>
      <w:r w:rsidRPr="00DE110C">
        <w:rPr>
          <w:i/>
          <w:iCs/>
        </w:rPr>
        <w:t>Virol</w:t>
      </w:r>
      <w:proofErr w:type="spellEnd"/>
      <w:r>
        <w:t xml:space="preserve">. 2013;58(3):515–21. doi: </w:t>
      </w:r>
      <w:hyperlink r:id="rId19" w:history="1">
        <w:r w:rsidR="000D1897" w:rsidRPr="0005488A">
          <w:rPr>
            <w:rStyle w:val="Hyperlink"/>
          </w:rPr>
          <w:t>https://doi.org/10.1016/j.jcv.2013.08.013</w:t>
        </w:r>
      </w:hyperlink>
      <w:r>
        <w:t>.</w:t>
      </w:r>
    </w:p>
    <w:p w14:paraId="0A95E915" w14:textId="77777777" w:rsidR="001A492C" w:rsidRDefault="001A492C" w:rsidP="001A492C">
      <w:pPr>
        <w:pStyle w:val="CDINumberedList1-L1"/>
        <w:divId w:val="935526654"/>
      </w:pPr>
      <w:r>
        <w:t xml:space="preserve">Hall AJ, </w:t>
      </w:r>
      <w:proofErr w:type="spellStart"/>
      <w:r>
        <w:t>Wikswo</w:t>
      </w:r>
      <w:proofErr w:type="spellEnd"/>
      <w:r>
        <w:t xml:space="preserve"> ME, Pringle K, Gould LH, Parashar UD. Vital signs: foodborne norovirus outbreaks – United States, 2009–2012. </w:t>
      </w:r>
      <w:r w:rsidRPr="001A492C">
        <w:rPr>
          <w:i/>
          <w:iCs/>
        </w:rPr>
        <w:t xml:space="preserve">MMWR </w:t>
      </w:r>
      <w:proofErr w:type="spellStart"/>
      <w:r w:rsidRPr="001A492C">
        <w:rPr>
          <w:i/>
          <w:iCs/>
        </w:rPr>
        <w:t>Morb</w:t>
      </w:r>
      <w:proofErr w:type="spellEnd"/>
      <w:r w:rsidRPr="001A492C">
        <w:rPr>
          <w:i/>
          <w:iCs/>
        </w:rPr>
        <w:t xml:space="preserve"> Mortal </w:t>
      </w:r>
      <w:proofErr w:type="spellStart"/>
      <w:r w:rsidRPr="001A492C">
        <w:rPr>
          <w:i/>
          <w:iCs/>
        </w:rPr>
        <w:t>Wkly</w:t>
      </w:r>
      <w:proofErr w:type="spellEnd"/>
      <w:r w:rsidRPr="001A492C">
        <w:rPr>
          <w:i/>
          <w:iCs/>
        </w:rPr>
        <w:t xml:space="preserve"> Rep</w:t>
      </w:r>
      <w:r>
        <w:t>. 2014;63(22):491–5.</w:t>
      </w:r>
    </w:p>
    <w:p w14:paraId="341B7D0F" w14:textId="120B74F4" w:rsidR="001A492C" w:rsidRDefault="001A492C" w:rsidP="001A492C">
      <w:pPr>
        <w:pStyle w:val="CDINumberedList1-L1"/>
        <w:divId w:val="935526654"/>
      </w:pPr>
      <w:r>
        <w:t xml:space="preserve">Moe CL. Preventing norovirus transmission: how should we handle food handlers? </w:t>
      </w:r>
      <w:r w:rsidRPr="001A492C">
        <w:rPr>
          <w:i/>
          <w:iCs/>
        </w:rPr>
        <w:t>Clin Infect Dis</w:t>
      </w:r>
      <w:r>
        <w:t xml:space="preserve">. 2009;48(1):38–40. doi: </w:t>
      </w:r>
      <w:hyperlink r:id="rId20" w:history="1">
        <w:r w:rsidR="000D1897" w:rsidRPr="0005488A">
          <w:rPr>
            <w:rStyle w:val="Hyperlink"/>
          </w:rPr>
          <w:t>https://doi.org/10.1086/594119</w:t>
        </w:r>
      </w:hyperlink>
      <w:r>
        <w:t>.</w:t>
      </w:r>
    </w:p>
    <w:p w14:paraId="1D99654B" w14:textId="742DF929" w:rsidR="001A492C" w:rsidRDefault="001A492C" w:rsidP="001A492C">
      <w:pPr>
        <w:pStyle w:val="CDINumberedList1-L1"/>
        <w:divId w:val="935526654"/>
      </w:pPr>
      <w:r>
        <w:t xml:space="preserve">McNutt LA, Wu C, Xue X, Hafner JP. Estimating the relative risk in cohort studies and clinical trials of common outcomes. </w:t>
      </w:r>
      <w:r w:rsidRPr="001A492C">
        <w:rPr>
          <w:i/>
          <w:iCs/>
        </w:rPr>
        <w:t>Am J Epidemiol</w:t>
      </w:r>
      <w:r>
        <w:t xml:space="preserve">. 2003;157(10):940–3. doi: </w:t>
      </w:r>
      <w:hyperlink r:id="rId21" w:history="1">
        <w:r w:rsidR="000D1897" w:rsidRPr="0005488A">
          <w:rPr>
            <w:rStyle w:val="Hyperlink"/>
          </w:rPr>
          <w:t>https://doi.org/10.1093/aje/kwg074</w:t>
        </w:r>
      </w:hyperlink>
      <w:r>
        <w:t>.</w:t>
      </w:r>
    </w:p>
    <w:p w14:paraId="20CFB49B" w14:textId="08AFC706" w:rsidR="001A492C" w:rsidRDefault="001A492C" w:rsidP="001A492C">
      <w:pPr>
        <w:pStyle w:val="CDINumberedList1-L1"/>
        <w:divId w:val="935526654"/>
      </w:pPr>
      <w:r>
        <w:t xml:space="preserve">Naimi AI, Whitcomb BW. Estimating risk ratios and risk differences using regression. </w:t>
      </w:r>
      <w:r w:rsidRPr="001A492C">
        <w:rPr>
          <w:i/>
          <w:iCs/>
        </w:rPr>
        <w:t>Am J Epidemiol</w:t>
      </w:r>
      <w:r>
        <w:t xml:space="preserve">. 2020;189(6):508–10. doi: </w:t>
      </w:r>
      <w:hyperlink r:id="rId22" w:history="1">
        <w:r w:rsidR="000D1897" w:rsidRPr="0005488A">
          <w:rPr>
            <w:rStyle w:val="Hyperlink"/>
          </w:rPr>
          <w:t>https://doi.org/10.1093/aje/kwaa044</w:t>
        </w:r>
      </w:hyperlink>
      <w:r>
        <w:t>.</w:t>
      </w:r>
    </w:p>
    <w:p w14:paraId="5B50674A" w14:textId="22490FCF" w:rsidR="001A492C" w:rsidRDefault="001A492C" w:rsidP="001A492C">
      <w:pPr>
        <w:pStyle w:val="CDINumberedList1-L1"/>
        <w:divId w:val="935526654"/>
      </w:pPr>
      <w:r>
        <w:t xml:space="preserve">The Australian National University. FSANZ foodborne disease costing model. [Online document.] Canberra: FSANZ; 2022. [Accessed on 6 December 2023.] Available from: </w:t>
      </w:r>
      <w:hyperlink r:id="rId23" w:history="1">
        <w:r w:rsidR="000D1897" w:rsidRPr="0005488A">
          <w:rPr>
            <w:rStyle w:val="Hyperlink"/>
          </w:rPr>
          <w:t>https://angusmclure.shinyapps.io/AusFBDCosting/</w:t>
        </w:r>
      </w:hyperlink>
      <w:r w:rsidR="000D1897">
        <w:t>.</w:t>
      </w:r>
    </w:p>
    <w:p w14:paraId="36975893" w14:textId="6A33E072" w:rsidR="001A492C" w:rsidRDefault="001A492C" w:rsidP="001A492C">
      <w:pPr>
        <w:pStyle w:val="CDINumberedList1-L1"/>
        <w:divId w:val="935526654"/>
      </w:pPr>
      <w:r>
        <w:t xml:space="preserve">Australian Capital Territory Government Legislation Register. </w:t>
      </w:r>
      <w:r w:rsidRPr="001A492C">
        <w:rPr>
          <w:i/>
          <w:iCs/>
        </w:rPr>
        <w:t>Public Health Act 1997</w:t>
      </w:r>
      <w:r>
        <w:t xml:space="preserve">. [Legislation.] Canberra: Australian Capital Territory Government; 1 March 2024. Available from: </w:t>
      </w:r>
      <w:hyperlink r:id="rId24" w:history="1">
        <w:r w:rsidR="000D1897" w:rsidRPr="0005488A">
          <w:rPr>
            <w:rStyle w:val="Hyperlink"/>
          </w:rPr>
          <w:t>https://www.legislation.act.gov.au/a/1997-69/</w:t>
        </w:r>
      </w:hyperlink>
      <w:r>
        <w:t>.</w:t>
      </w:r>
    </w:p>
    <w:p w14:paraId="672DDF4F" w14:textId="7DE54D3E" w:rsidR="001A492C" w:rsidRDefault="001A492C" w:rsidP="001A492C">
      <w:pPr>
        <w:pStyle w:val="CDINumberedList1-L1"/>
        <w:divId w:val="935526654"/>
      </w:pPr>
      <w:r>
        <w:t xml:space="preserve">Australian Capital Territory Government Legislation Register. </w:t>
      </w:r>
      <w:r w:rsidRPr="001A492C">
        <w:rPr>
          <w:i/>
          <w:iCs/>
        </w:rPr>
        <w:t>Food Act 2001</w:t>
      </w:r>
      <w:r>
        <w:t xml:space="preserve">. [Legislation.] Canberra: Australian Capital Territory Government; 27 March 2024. Available from: </w:t>
      </w:r>
      <w:hyperlink r:id="rId25" w:history="1">
        <w:r w:rsidR="000D1897" w:rsidRPr="0005488A">
          <w:rPr>
            <w:rStyle w:val="Hyperlink"/>
          </w:rPr>
          <w:t>https://www.legislation.act.gov.au/a/2001-66/</w:t>
        </w:r>
      </w:hyperlink>
      <w:r>
        <w:t>.</w:t>
      </w:r>
    </w:p>
    <w:p w14:paraId="65DCC6B8" w14:textId="6741BAB1" w:rsidR="001A492C" w:rsidRDefault="001A492C" w:rsidP="001A492C">
      <w:pPr>
        <w:pStyle w:val="CDINumberedList1-L1"/>
        <w:divId w:val="935526654"/>
      </w:pPr>
      <w:r>
        <w:t xml:space="preserve">Kaplan JE, Gary GW, Baron RC, Singh N, Schonberger LB, Feldman R et al. Epidemiology of Norwalk gastroenteritis and the role of Norwalk virus in outbreaks of acute nonbacterial gastroenteritis. </w:t>
      </w:r>
      <w:r w:rsidRPr="00DE110C">
        <w:rPr>
          <w:i/>
          <w:iCs/>
        </w:rPr>
        <w:t>Ann Intern Med</w:t>
      </w:r>
      <w:r>
        <w:t xml:space="preserve">. 1982;96(6):756–61. doi: </w:t>
      </w:r>
      <w:hyperlink r:id="rId26" w:history="1">
        <w:r w:rsidR="000D1897" w:rsidRPr="0005488A">
          <w:rPr>
            <w:rStyle w:val="Hyperlink"/>
          </w:rPr>
          <w:t>https://doi.org/10.7326/0003-4819-96-6-756</w:t>
        </w:r>
      </w:hyperlink>
      <w:r>
        <w:t>.</w:t>
      </w:r>
    </w:p>
    <w:p w14:paraId="61C065B2" w14:textId="6AE90CA8" w:rsidR="001A492C" w:rsidRDefault="001A492C" w:rsidP="001A492C">
      <w:pPr>
        <w:pStyle w:val="CDINumberedList1-L1"/>
        <w:divId w:val="935526654"/>
      </w:pPr>
      <w:r>
        <w:lastRenderedPageBreak/>
        <w:t xml:space="preserve">Lively JY, Johnson SD, </w:t>
      </w:r>
      <w:proofErr w:type="spellStart"/>
      <w:r>
        <w:t>Wikswo</w:t>
      </w:r>
      <w:proofErr w:type="spellEnd"/>
      <w:r>
        <w:t xml:space="preserve"> M, Gu W, Leon J, Hall AJ. Clinical and epidemiologic profiles for identifying norovirus in acute gastroenteritis outbreak investigations. </w:t>
      </w:r>
      <w:r w:rsidRPr="001A492C">
        <w:rPr>
          <w:i/>
          <w:iCs/>
        </w:rPr>
        <w:t>Open Forum Infect Dis</w:t>
      </w:r>
      <w:r>
        <w:t>. 2018;5(4</w:t>
      </w:r>
      <w:proofErr w:type="gramStart"/>
      <w:r>
        <w:t>):ofy</w:t>
      </w:r>
      <w:proofErr w:type="gramEnd"/>
      <w:r>
        <w:t xml:space="preserve">049. doi: </w:t>
      </w:r>
      <w:hyperlink r:id="rId27" w:history="1">
        <w:r w:rsidR="000D1897" w:rsidRPr="0005488A">
          <w:rPr>
            <w:rStyle w:val="Hyperlink"/>
          </w:rPr>
          <w:t>https://doi.org/10.1093/ofid/ofy049</w:t>
        </w:r>
      </w:hyperlink>
      <w:r>
        <w:t>.</w:t>
      </w:r>
    </w:p>
    <w:p w14:paraId="2D0A4A3D" w14:textId="7AAB8A15" w:rsidR="001A492C" w:rsidRDefault="001A492C" w:rsidP="001A492C">
      <w:pPr>
        <w:pStyle w:val="CDINumberedList1-L1"/>
        <w:divId w:val="935526654"/>
      </w:pPr>
      <w:r>
        <w:t xml:space="preserve">Thornley CN, Hewitt J, Perumal L, Van Gessel SM, Wong J, David SA et al. Multiple outbreaks of a novel norovirus GII.4 linked to an infected post-symptomatic food handler. </w:t>
      </w:r>
      <w:r w:rsidRPr="001A492C">
        <w:rPr>
          <w:i/>
          <w:iCs/>
        </w:rPr>
        <w:t>Epidemiol Infect</w:t>
      </w:r>
      <w:r>
        <w:t xml:space="preserve">. 2013;141(8):1585–97. doi: </w:t>
      </w:r>
      <w:hyperlink r:id="rId28" w:history="1">
        <w:r w:rsidR="000D1897" w:rsidRPr="0005488A">
          <w:rPr>
            <w:rStyle w:val="Hyperlink"/>
          </w:rPr>
          <w:t>https://doi.org/10.1017/S0950268813000095</w:t>
        </w:r>
      </w:hyperlink>
      <w:r>
        <w:t>.</w:t>
      </w:r>
    </w:p>
    <w:p w14:paraId="7ECEC133" w14:textId="3D1F5EF0" w:rsidR="001A492C" w:rsidRDefault="001A492C" w:rsidP="001A492C">
      <w:pPr>
        <w:pStyle w:val="CDINumberedList1-L1"/>
        <w:divId w:val="935526654"/>
      </w:pPr>
      <w:r>
        <w:t xml:space="preserve">Gaulin C, Nguon S, Leblanc MA, Ramsay D, Roy S. Multiple outbreaks of gastroenteritis that were associated with 16 funerals and a unique caterer and spanned 6 days, 2011, Québec, Canada. </w:t>
      </w:r>
      <w:r w:rsidRPr="00DE110C">
        <w:rPr>
          <w:i/>
          <w:iCs/>
        </w:rPr>
        <w:t>J Food Prot</w:t>
      </w:r>
      <w:r>
        <w:t xml:space="preserve">. 2013;76(9):1582–9. doi: </w:t>
      </w:r>
      <w:hyperlink r:id="rId29" w:history="1">
        <w:r w:rsidR="000D1897" w:rsidRPr="0005488A">
          <w:rPr>
            <w:rStyle w:val="Hyperlink"/>
          </w:rPr>
          <w:t>https://doi.org/10.4315/0362-028X.JFP-13-079</w:t>
        </w:r>
      </w:hyperlink>
      <w:r>
        <w:t>.</w:t>
      </w:r>
    </w:p>
    <w:p w14:paraId="5CD6C6D3" w14:textId="01584A6B" w:rsidR="001A492C" w:rsidRDefault="001A492C" w:rsidP="001A492C">
      <w:pPr>
        <w:pStyle w:val="CDINumberedList1-L1"/>
        <w:divId w:val="935526654"/>
      </w:pPr>
      <w:r>
        <w:t xml:space="preserve">Telfer B, Capon A, Kolbe T, Hamilton I, Burns T, Doyle B et al. A large outbreak of Norovirus gastroenteritis linked to a catering company, New South Wales, October 2003. </w:t>
      </w:r>
      <w:r w:rsidRPr="001A492C">
        <w:rPr>
          <w:i/>
          <w:iCs/>
        </w:rPr>
        <w:t>N S W Public Health Bull</w:t>
      </w:r>
      <w:r>
        <w:t>. 2004;15(9–10):168–71.</w:t>
      </w:r>
    </w:p>
    <w:p w14:paraId="36966BE3" w14:textId="0DB26EE0" w:rsidR="001A492C" w:rsidRDefault="001A492C" w:rsidP="001A492C">
      <w:pPr>
        <w:pStyle w:val="CDINumberedList1-L1"/>
        <w:divId w:val="935526654"/>
      </w:pPr>
      <w:r>
        <w:t xml:space="preserve">Götz H, Jong BD, </w:t>
      </w:r>
      <w:proofErr w:type="spellStart"/>
      <w:r>
        <w:t>Lindbäck</w:t>
      </w:r>
      <w:proofErr w:type="spellEnd"/>
      <w:r>
        <w:t xml:space="preserve"> J, Parment PA, Hedlund KO, </w:t>
      </w:r>
      <w:proofErr w:type="spellStart"/>
      <w:r>
        <w:t>Torvén</w:t>
      </w:r>
      <w:proofErr w:type="spellEnd"/>
      <w:r>
        <w:t xml:space="preserve"> M et al. Epidemiological investigation of a food-borne gastroenteritis outbreak caused by Norwalk-like virus in 30 day-care centres. </w:t>
      </w:r>
      <w:r w:rsidRPr="00DE110C">
        <w:rPr>
          <w:i/>
          <w:iCs/>
        </w:rPr>
        <w:t>Scand J Infect Dis</w:t>
      </w:r>
      <w:r>
        <w:t xml:space="preserve">. 2002;34(2):115–21. doi: </w:t>
      </w:r>
      <w:hyperlink r:id="rId30" w:history="1">
        <w:r w:rsidR="000D1897" w:rsidRPr="0005488A">
          <w:rPr>
            <w:rStyle w:val="Hyperlink"/>
          </w:rPr>
          <w:t>https://doi.org/10.1080/00365540110080133</w:t>
        </w:r>
      </w:hyperlink>
      <w:r>
        <w:t>.</w:t>
      </w:r>
    </w:p>
    <w:p w14:paraId="43B5B822" w14:textId="54FF08AB" w:rsidR="001A492C" w:rsidRDefault="001A492C" w:rsidP="001A492C">
      <w:pPr>
        <w:pStyle w:val="CDINumberedList1-L1"/>
        <w:divId w:val="935526654"/>
      </w:pPr>
      <w:r>
        <w:t xml:space="preserve">Greig JD, Todd ECD, Bartleson CA, Michaels BS. Outbreaks where food workers have been implicated in the spread of foodborne disease. Part 1. Description of the problem, methods, and agents involved. </w:t>
      </w:r>
      <w:r w:rsidRPr="00DE110C">
        <w:rPr>
          <w:i/>
          <w:iCs/>
        </w:rPr>
        <w:t>J</w:t>
      </w:r>
      <w:r w:rsidR="00DE110C">
        <w:rPr>
          <w:i/>
          <w:iCs/>
        </w:rPr>
        <w:t> </w:t>
      </w:r>
      <w:r w:rsidRPr="00DE110C">
        <w:rPr>
          <w:i/>
          <w:iCs/>
        </w:rPr>
        <w:t>Food Prot</w:t>
      </w:r>
      <w:r>
        <w:t xml:space="preserve">. 2007;70(7):1752–61. doi: </w:t>
      </w:r>
      <w:hyperlink r:id="rId31" w:history="1">
        <w:r w:rsidR="000D1897" w:rsidRPr="0005488A">
          <w:rPr>
            <w:rStyle w:val="Hyperlink"/>
          </w:rPr>
          <w:t>https://doi.org/10.4315/0362-028x-70.7.1752</w:t>
        </w:r>
      </w:hyperlink>
      <w:r>
        <w:t>.</w:t>
      </w:r>
    </w:p>
    <w:p w14:paraId="2D65D3EF" w14:textId="0F8EDDDD" w:rsidR="001A492C" w:rsidRDefault="001A492C" w:rsidP="001A492C">
      <w:pPr>
        <w:pStyle w:val="CDINumberedList1-L1"/>
        <w:divId w:val="935526654"/>
      </w:pPr>
      <w:r>
        <w:t xml:space="preserve">Tuan </w:t>
      </w:r>
      <w:proofErr w:type="spellStart"/>
      <w:r>
        <w:t>Zainazor</w:t>
      </w:r>
      <w:proofErr w:type="spellEnd"/>
      <w:r>
        <w:t xml:space="preserve"> C, Hidayah MSN, Chai LC, </w:t>
      </w:r>
      <w:proofErr w:type="spellStart"/>
      <w:r>
        <w:t>Tunung</w:t>
      </w:r>
      <w:proofErr w:type="spellEnd"/>
      <w:r>
        <w:t xml:space="preserve"> R, Ghazali FM, Son R. The scenario of norovirus contamination in food and food handlers. </w:t>
      </w:r>
      <w:r w:rsidRPr="001A492C">
        <w:rPr>
          <w:i/>
          <w:iCs/>
        </w:rPr>
        <w:t xml:space="preserve">J Microbiol </w:t>
      </w:r>
      <w:proofErr w:type="spellStart"/>
      <w:r w:rsidRPr="001A492C">
        <w:rPr>
          <w:i/>
          <w:iCs/>
        </w:rPr>
        <w:t>Biotechnol</w:t>
      </w:r>
      <w:proofErr w:type="spellEnd"/>
      <w:r>
        <w:t xml:space="preserve">. 2010;20(2):229–37. </w:t>
      </w:r>
      <w:r w:rsidR="000D1897">
        <w:t>d</w:t>
      </w:r>
      <w:r>
        <w:t>oi</w:t>
      </w:r>
      <w:r w:rsidR="000D1897">
        <w:t>: </w:t>
      </w:r>
      <w:hyperlink r:id="rId32" w:history="1">
        <w:r w:rsidR="000D1897" w:rsidRPr="0005488A">
          <w:rPr>
            <w:rStyle w:val="Hyperlink"/>
          </w:rPr>
          <w:t>https://doi.org/10.4014/jmb.0906.06032</w:t>
        </w:r>
      </w:hyperlink>
      <w:r>
        <w:t>.</w:t>
      </w:r>
    </w:p>
    <w:p w14:paraId="36803AA9" w14:textId="1C26A11B" w:rsidR="001A492C" w:rsidRDefault="001A492C" w:rsidP="001A492C">
      <w:pPr>
        <w:pStyle w:val="CDINumberedList1-L1"/>
        <w:divId w:val="935526654"/>
      </w:pPr>
      <w:r>
        <w:t xml:space="preserve">Ozawa K, Oka T, Takeda N, Hansman GS. Norovirus infections in symptomatic and asymptomatic food handlers in Japan. </w:t>
      </w:r>
      <w:r w:rsidRPr="001A492C">
        <w:rPr>
          <w:i/>
          <w:iCs/>
        </w:rPr>
        <w:t>J Clin Microbiol</w:t>
      </w:r>
      <w:r>
        <w:t xml:space="preserve">. 2007;45(12):3996–4005. </w:t>
      </w:r>
      <w:r w:rsidR="000D1897">
        <w:br/>
      </w:r>
      <w:r>
        <w:t xml:space="preserve">doi: </w:t>
      </w:r>
      <w:hyperlink r:id="rId33" w:history="1">
        <w:r w:rsidR="000D1897" w:rsidRPr="0005488A">
          <w:rPr>
            <w:rStyle w:val="Hyperlink"/>
          </w:rPr>
          <w:t>https://doi.org/10.1128/JCM.01516-07</w:t>
        </w:r>
      </w:hyperlink>
      <w:r>
        <w:t>.</w:t>
      </w:r>
    </w:p>
    <w:p w14:paraId="70574021" w14:textId="59929CBA" w:rsidR="001A492C" w:rsidRDefault="001A492C" w:rsidP="001A492C">
      <w:pPr>
        <w:pStyle w:val="CDINumberedList1-L1"/>
        <w:divId w:val="935526654"/>
      </w:pPr>
      <w:r>
        <w:t xml:space="preserve">Shinkawa N, Noda M, Yoshizumi S, Tokutake Y, Shiraishi T, Arita-Nishida T et al. Molecular epidemiology of noroviruses detected in food handler-associated outbreaks of gastroenteritis in Japan. </w:t>
      </w:r>
      <w:proofErr w:type="spellStart"/>
      <w:r w:rsidRPr="001A492C">
        <w:rPr>
          <w:i/>
          <w:iCs/>
        </w:rPr>
        <w:t>Intervirology</w:t>
      </w:r>
      <w:proofErr w:type="spellEnd"/>
      <w:r>
        <w:t xml:space="preserve">. 2008;51(6):422–6. doi: </w:t>
      </w:r>
      <w:hyperlink r:id="rId34" w:history="1">
        <w:r w:rsidR="000D1897" w:rsidRPr="0005488A">
          <w:rPr>
            <w:rStyle w:val="Hyperlink"/>
          </w:rPr>
          <w:t>https://doi.org/10.1159/000205527</w:t>
        </w:r>
      </w:hyperlink>
      <w:r>
        <w:t>.</w:t>
      </w:r>
    </w:p>
    <w:p w14:paraId="5E4430EA" w14:textId="65C9FA34" w:rsidR="001A492C" w:rsidRDefault="001A492C" w:rsidP="001A492C">
      <w:pPr>
        <w:pStyle w:val="CDINumberedList1-L1"/>
        <w:divId w:val="935526654"/>
      </w:pPr>
      <w:proofErr w:type="spellStart"/>
      <w:r>
        <w:t>Barrabeig</w:t>
      </w:r>
      <w:proofErr w:type="spellEnd"/>
      <w:r>
        <w:t xml:space="preserve"> I, Rovira A, </w:t>
      </w:r>
      <w:proofErr w:type="spellStart"/>
      <w:r>
        <w:t>Buesa</w:t>
      </w:r>
      <w:proofErr w:type="spellEnd"/>
      <w:r>
        <w:t xml:space="preserve"> J, Bartolomé R, </w:t>
      </w:r>
      <w:proofErr w:type="spellStart"/>
      <w:r>
        <w:t>Pintó</w:t>
      </w:r>
      <w:proofErr w:type="spellEnd"/>
      <w:r>
        <w:t xml:space="preserve"> R, </w:t>
      </w:r>
      <w:proofErr w:type="spellStart"/>
      <w:r>
        <w:t>Prellezo</w:t>
      </w:r>
      <w:proofErr w:type="spellEnd"/>
      <w:r>
        <w:t xml:space="preserve"> H et al. Foodborne norovirus outbreak: the role of an asymptomatic food handler. </w:t>
      </w:r>
      <w:r w:rsidRPr="001A492C">
        <w:rPr>
          <w:i/>
          <w:iCs/>
        </w:rPr>
        <w:t>BMC Infect Dis</w:t>
      </w:r>
      <w:r>
        <w:t xml:space="preserve">. </w:t>
      </w:r>
      <w:proofErr w:type="gramStart"/>
      <w:r>
        <w:t>2010;10:269</w:t>
      </w:r>
      <w:proofErr w:type="gramEnd"/>
      <w:r>
        <w:t xml:space="preserve">. </w:t>
      </w:r>
      <w:r w:rsidR="000D1897">
        <w:br/>
      </w:r>
      <w:r>
        <w:t xml:space="preserve">doi: </w:t>
      </w:r>
      <w:hyperlink r:id="rId35" w:history="1">
        <w:r w:rsidR="000D1897" w:rsidRPr="0005488A">
          <w:rPr>
            <w:rStyle w:val="Hyperlink"/>
          </w:rPr>
          <w:t>https://doi.org/10.1186/1471-2334-10-269</w:t>
        </w:r>
      </w:hyperlink>
      <w:r>
        <w:t>.</w:t>
      </w:r>
    </w:p>
    <w:p w14:paraId="791575D1" w14:textId="333AB478" w:rsidR="001A492C" w:rsidRDefault="001A492C" w:rsidP="001A492C">
      <w:pPr>
        <w:pStyle w:val="CDINumberedList1-L1"/>
        <w:divId w:val="935526654"/>
      </w:pPr>
      <w:r>
        <w:t xml:space="preserve">Gaulin C, Frigon M, Poirier D, Fournier C. Transmission of calicivirus by a </w:t>
      </w:r>
      <w:proofErr w:type="spellStart"/>
      <w:r>
        <w:t>foodhandler</w:t>
      </w:r>
      <w:proofErr w:type="spellEnd"/>
      <w:r>
        <w:t xml:space="preserve"> in the pre-symptomatic phase of illness. </w:t>
      </w:r>
      <w:r w:rsidRPr="001A492C">
        <w:rPr>
          <w:i/>
          <w:iCs/>
        </w:rPr>
        <w:t>Epidemiol Infect</w:t>
      </w:r>
      <w:r>
        <w:t>. 1999;123(3):475–8. doi:</w:t>
      </w:r>
      <w:r w:rsidR="000D1897">
        <w:t> </w:t>
      </w:r>
      <w:hyperlink r:id="rId36" w:history="1">
        <w:r w:rsidR="000D1897" w:rsidRPr="0005488A">
          <w:rPr>
            <w:rStyle w:val="Hyperlink"/>
          </w:rPr>
          <w:t>https://doi.org/10.1017/s095026889900299x</w:t>
        </w:r>
      </w:hyperlink>
      <w:r>
        <w:t>.</w:t>
      </w:r>
    </w:p>
    <w:p w14:paraId="4755D9F2" w14:textId="7F78A5E6" w:rsidR="001A492C" w:rsidRDefault="001A492C" w:rsidP="001A492C">
      <w:pPr>
        <w:pStyle w:val="CDINumberedList1-L1"/>
        <w:divId w:val="935526654"/>
      </w:pPr>
      <w:r>
        <w:t xml:space="preserve">Todd EC, Greig JD, Bartleson CA, Michaels BS. Outbreaks where food workers have been implicated in the spread of foodborne disease. Part 3. Factors contributing to outbreaks and description of outbreak categories. </w:t>
      </w:r>
      <w:r w:rsidRPr="001A492C">
        <w:rPr>
          <w:i/>
          <w:iCs/>
        </w:rPr>
        <w:t>J Food Prot</w:t>
      </w:r>
      <w:r>
        <w:t xml:space="preserve">. 2007;70(9):2199–217. doi: </w:t>
      </w:r>
      <w:hyperlink r:id="rId37" w:history="1">
        <w:r w:rsidR="000D1897" w:rsidRPr="0005488A">
          <w:rPr>
            <w:rStyle w:val="Hyperlink"/>
          </w:rPr>
          <w:t>https://doi.org/10.4315/0362-028x-70.9.2199</w:t>
        </w:r>
      </w:hyperlink>
      <w:r>
        <w:t>.</w:t>
      </w:r>
    </w:p>
    <w:p w14:paraId="4396FF0B" w14:textId="6B8FC448" w:rsidR="001A492C" w:rsidRDefault="001A492C" w:rsidP="001A492C">
      <w:pPr>
        <w:pStyle w:val="CDINumberedList1-L1"/>
        <w:divId w:val="935526654"/>
      </w:pPr>
      <w:r>
        <w:lastRenderedPageBreak/>
        <w:t xml:space="preserve">Boxman ILA, Verhoef L, </w:t>
      </w:r>
      <w:proofErr w:type="spellStart"/>
      <w:r>
        <w:t>Dijkman</w:t>
      </w:r>
      <w:proofErr w:type="spellEnd"/>
      <w:r>
        <w:t xml:space="preserve"> R, </w:t>
      </w:r>
      <w:proofErr w:type="spellStart"/>
      <w:r>
        <w:t>Hägele</w:t>
      </w:r>
      <w:proofErr w:type="spellEnd"/>
      <w:r>
        <w:t xml:space="preserve"> G, </w:t>
      </w:r>
      <w:proofErr w:type="spellStart"/>
      <w:r>
        <w:t>Te</w:t>
      </w:r>
      <w:proofErr w:type="spellEnd"/>
      <w:r>
        <w:t xml:space="preserve"> </w:t>
      </w:r>
      <w:proofErr w:type="spellStart"/>
      <w:r>
        <w:t>Loeke</w:t>
      </w:r>
      <w:proofErr w:type="spellEnd"/>
      <w:r>
        <w:t xml:space="preserve"> NAJM, Koopmans M. Year-round prevalence of norovirus in the environment of catering companies without a recently reported outbreak of gastroenteritis. </w:t>
      </w:r>
      <w:r w:rsidRPr="001A492C">
        <w:rPr>
          <w:i/>
          <w:iCs/>
        </w:rPr>
        <w:t>Appl Environ Microbiol</w:t>
      </w:r>
      <w:r>
        <w:t xml:space="preserve">. 2011;77(9):2968–74. </w:t>
      </w:r>
      <w:r w:rsidR="000D1897">
        <w:br/>
      </w:r>
      <w:r>
        <w:t xml:space="preserve">doi: </w:t>
      </w:r>
      <w:hyperlink r:id="rId38" w:history="1">
        <w:r w:rsidR="000D1897" w:rsidRPr="0005488A">
          <w:rPr>
            <w:rStyle w:val="Hyperlink"/>
          </w:rPr>
          <w:t>https://doi.org/10.1128/AEM.02354-10</w:t>
        </w:r>
      </w:hyperlink>
      <w:r>
        <w:t>.</w:t>
      </w:r>
    </w:p>
    <w:p w14:paraId="12C31294" w14:textId="4D7829FF" w:rsidR="001A492C" w:rsidRDefault="001A492C" w:rsidP="001A492C">
      <w:pPr>
        <w:pStyle w:val="CDINumberedList1-L1"/>
        <w:divId w:val="935526654"/>
      </w:pPr>
      <w:r>
        <w:t xml:space="preserve">Rumble C, Addiman S, </w:t>
      </w:r>
      <w:proofErr w:type="spellStart"/>
      <w:r>
        <w:t>Balasegaram</w:t>
      </w:r>
      <w:proofErr w:type="spellEnd"/>
      <w:r>
        <w:t xml:space="preserve"> S, Chima K, Ready D, Heard J et al. Role of food handlers in norovirus outbreaks in London and </w:t>
      </w:r>
      <w:proofErr w:type="gramStart"/>
      <w:r>
        <w:t>South East</w:t>
      </w:r>
      <w:proofErr w:type="gramEnd"/>
      <w:r>
        <w:t xml:space="preserve"> England, 2013 to 2015. </w:t>
      </w:r>
      <w:r w:rsidRPr="001A492C">
        <w:rPr>
          <w:i/>
          <w:iCs/>
        </w:rPr>
        <w:t>J Food Prot</w:t>
      </w:r>
      <w:r>
        <w:t xml:space="preserve">. 2017;80(2):257–64. doi: </w:t>
      </w:r>
      <w:hyperlink r:id="rId39" w:history="1">
        <w:r w:rsidR="000D1897" w:rsidRPr="0005488A">
          <w:rPr>
            <w:rStyle w:val="Hyperlink"/>
          </w:rPr>
          <w:t>https://doi.org/10.4315/0362-028X.JFP-16-083</w:t>
        </w:r>
      </w:hyperlink>
      <w:r>
        <w:t>.</w:t>
      </w:r>
    </w:p>
    <w:p w14:paraId="60AC797A" w14:textId="7E1F3E99" w:rsidR="001A492C" w:rsidRDefault="001A492C" w:rsidP="001A492C">
      <w:pPr>
        <w:pStyle w:val="CDINumberedList1-L1"/>
        <w:divId w:val="935526654"/>
      </w:pPr>
      <w:r>
        <w:t xml:space="preserve">Allen K, Greenville F, Marmor A, Waters N, </w:t>
      </w:r>
      <w:proofErr w:type="spellStart"/>
      <w:r>
        <w:t>Wansink</w:t>
      </w:r>
      <w:proofErr w:type="spellEnd"/>
      <w:r>
        <w:t xml:space="preserve"> V, Hudson L et al. Donuts for weight loss? A norovirus outbreak associated with a bakery in the Australian Capital Territory. </w:t>
      </w:r>
      <w:r w:rsidRPr="001A492C">
        <w:rPr>
          <w:i/>
          <w:iCs/>
        </w:rPr>
        <w:t>Commun Dis Intell (2018)</w:t>
      </w:r>
      <w:r>
        <w:t xml:space="preserve">. 2022;46. doi: </w:t>
      </w:r>
      <w:hyperlink r:id="rId40" w:history="1">
        <w:r w:rsidR="000D1897" w:rsidRPr="0005488A">
          <w:rPr>
            <w:rStyle w:val="Hyperlink"/>
          </w:rPr>
          <w:t>https://doi.org/10.33321/cdi.2022.46.69</w:t>
        </w:r>
      </w:hyperlink>
      <w:r>
        <w:t>.</w:t>
      </w:r>
    </w:p>
    <w:p w14:paraId="53BD229F" w14:textId="32A38D23" w:rsidR="001A492C" w:rsidRDefault="001A492C" w:rsidP="001A492C">
      <w:pPr>
        <w:pStyle w:val="CDINumberedList1-L1"/>
        <w:divId w:val="935526654"/>
      </w:pPr>
      <w:r>
        <w:t xml:space="preserve">Verhoef L, Jaramillo Gutierrez G, Koopmans M, Boxman ILA. Reported </w:t>
      </w:r>
      <w:proofErr w:type="spellStart"/>
      <w:r>
        <w:t>behavior</w:t>
      </w:r>
      <w:proofErr w:type="spellEnd"/>
      <w:r>
        <w:t xml:space="preserve">, knowledge and awareness toward the potential for norovirus transmission by food handlers in Dutch catering companies and institutional settings in relation to the prevalence of norovirus. </w:t>
      </w:r>
      <w:r w:rsidRPr="001A492C">
        <w:rPr>
          <w:i/>
          <w:iCs/>
        </w:rPr>
        <w:t>Food Control</w:t>
      </w:r>
      <w:r>
        <w:t xml:space="preserve">. 2013;34(2):420-7. doi: </w:t>
      </w:r>
      <w:hyperlink r:id="rId41" w:history="1">
        <w:r w:rsidR="000D1897" w:rsidRPr="0005488A">
          <w:rPr>
            <w:rStyle w:val="Hyperlink"/>
          </w:rPr>
          <w:t>https://doi.org/10.1016/j.foodcont.2013.05.015</w:t>
        </w:r>
      </w:hyperlink>
      <w:r>
        <w:t>.</w:t>
      </w:r>
    </w:p>
    <w:p w14:paraId="5007B517" w14:textId="1E7E5FE9" w:rsidR="00620509" w:rsidRPr="001A492C" w:rsidRDefault="001A492C" w:rsidP="00EA60AF">
      <w:pPr>
        <w:pStyle w:val="CDINumberedList1-L1"/>
        <w:divId w:val="935526654"/>
      </w:pPr>
      <w:r>
        <w:t xml:space="preserve">Kassa H. An outbreak of </w:t>
      </w:r>
      <w:proofErr w:type="spellStart"/>
      <w:r>
        <w:t>norwalk</w:t>
      </w:r>
      <w:proofErr w:type="spellEnd"/>
      <w:r>
        <w:t xml:space="preserve">-like viral gastroenteritis in a frequently penalized food service operation: a case for mandatory training of food handlers in safety and hygiene. </w:t>
      </w:r>
      <w:r w:rsidRPr="001A492C">
        <w:rPr>
          <w:i/>
          <w:iCs/>
        </w:rPr>
        <w:t>J Environ Health</w:t>
      </w:r>
      <w:r>
        <w:t>. 2001;64(5):9–12.</w:t>
      </w:r>
    </w:p>
    <w:p w14:paraId="52BB20E6" w14:textId="77777777" w:rsidR="001A26DD" w:rsidRDefault="001A26DD" w:rsidP="0037146D">
      <w:pPr>
        <w:divId w:val="935526654"/>
        <w:sectPr w:rsidR="001A26DD" w:rsidSect="001A492C">
          <w:footnotePr>
            <w:numFmt w:val="lowerRoman"/>
          </w:footnotePr>
          <w:pgSz w:w="11907" w:h="16840" w:code="9"/>
          <w:pgMar w:top="1134" w:right="1134" w:bottom="1304" w:left="1134" w:header="709" w:footer="567" w:gutter="0"/>
          <w:cols w:space="708"/>
          <w:docGrid w:linePitch="360"/>
          <w15:footnoteColumns w:val="1"/>
        </w:sectPr>
      </w:pPr>
    </w:p>
    <w:p w14:paraId="6FEA06D2" w14:textId="77777777" w:rsidR="000705FF" w:rsidRPr="0089025E" w:rsidRDefault="000705FF" w:rsidP="00863F8D">
      <w:pPr>
        <w:pStyle w:val="CDICopyrighttext-lessspace"/>
      </w:pPr>
      <w:bookmarkStart w:id="0" w:name="_Hlk185172676"/>
      <w:r w:rsidRPr="0089025E">
        <w:lastRenderedPageBreak/>
        <w:t xml:space="preserve">© </w:t>
      </w:r>
      <w:fldSimple w:instr=" DOCPROPERTY  Year  \* MERGEFORMAT ">
        <w:r w:rsidR="00F2271D">
          <w:t>2025</w:t>
        </w:r>
      </w:fldSimple>
      <w:r w:rsidRPr="0089025E">
        <w:t xml:space="preserve"> Commonwealth of Australia as represented by the </w:t>
      </w:r>
      <w:r w:rsidR="00602AC1">
        <w:t>Department of Health and Aged Care</w:t>
      </w:r>
    </w:p>
    <w:p w14:paraId="00149C61" w14:textId="77777777" w:rsidR="00DE4482" w:rsidRPr="0089025E" w:rsidRDefault="00DE4482" w:rsidP="00C32715">
      <w:pPr>
        <w:pStyle w:val="CDICopyrighttext-lessspace"/>
      </w:pPr>
      <w:r w:rsidRPr="0089025E">
        <w:t>ISSN: 2209-6051 Online</w:t>
      </w:r>
    </w:p>
    <w:p w14:paraId="31BFF2E8" w14:textId="77777777" w:rsidR="00DE4482" w:rsidRDefault="00DE4482" w:rsidP="00C32715">
      <w:pPr>
        <w:pStyle w:val="CDICopyrighttext-lessspace"/>
      </w:pPr>
      <w:r w:rsidRPr="0089025E">
        <w:t>This journal is indexed by Index Medicus and Medline.</w:t>
      </w:r>
    </w:p>
    <w:p w14:paraId="2BD67491" w14:textId="77777777" w:rsidR="006221DD" w:rsidRPr="0089025E" w:rsidRDefault="006221DD" w:rsidP="00C32715">
      <w:pPr>
        <w:pStyle w:val="CDICopyrightheading"/>
      </w:pPr>
      <w:r>
        <w:t>Creative Commons Licence</w:t>
      </w:r>
    </w:p>
    <w:p w14:paraId="5D42AE53" w14:textId="0A6A674F" w:rsidR="000705FF" w:rsidRPr="0089025E" w:rsidRDefault="000705FF" w:rsidP="00194A12">
      <w:pPr>
        <w:pStyle w:val="CDICopyrighttext"/>
      </w:pPr>
      <w:r w:rsidRPr="0089025E">
        <w:t>This publication is licensed under a Creative Commons Attribution-NonCommercial-NoDerivatives 4.0 International Licence</w:t>
      </w:r>
      <w:r w:rsidR="00DE4482" w:rsidRPr="0089025E">
        <w:t xml:space="preserve"> (CC BY-NC-ND)</w:t>
      </w:r>
      <w:r w:rsidRPr="0089025E">
        <w:t xml:space="preserve"> </w:t>
      </w:r>
      <w:r w:rsidR="00DE4482" w:rsidRPr="0089025E">
        <w:t xml:space="preserve">available </w:t>
      </w:r>
      <w:r w:rsidRPr="0089025E">
        <w:t xml:space="preserve">from </w:t>
      </w:r>
      <w:hyperlink r:id="rId42" w:history="1">
        <w:r w:rsidR="00F576E5" w:rsidRPr="00020FD4">
          <w:rPr>
            <w:rStyle w:val="Hyperlink"/>
            <w:rFonts w:cstheme="minorHAnsi"/>
          </w:rPr>
          <w:t>https://creativecommons.org/licenses/by-nc-nd/4.0/legalcode</w:t>
        </w:r>
      </w:hyperlink>
      <w:r w:rsidRPr="0089025E">
        <w:t xml:space="preserve"> (Licence). You</w:t>
      </w:r>
      <w:r w:rsidR="006221DD">
        <w:t> </w:t>
      </w:r>
      <w:r w:rsidRPr="0089025E">
        <w:t>must read and understand the Licence before using any material from this publication.</w:t>
      </w:r>
    </w:p>
    <w:bookmarkEnd w:id="0"/>
    <w:p w14:paraId="62268336" w14:textId="77777777" w:rsidR="000705FF" w:rsidRPr="00194A12" w:rsidRDefault="000705FF" w:rsidP="00194A12">
      <w:pPr>
        <w:pStyle w:val="CDICopyrightheading"/>
      </w:pPr>
      <w:r w:rsidRPr="00194A12">
        <w:t>Restrictions</w:t>
      </w:r>
    </w:p>
    <w:p w14:paraId="7A849F62" w14:textId="77777777" w:rsidR="000705FF" w:rsidRPr="0089025E" w:rsidRDefault="000705FF" w:rsidP="00863F8D">
      <w:pPr>
        <w:pStyle w:val="CDICopyrighttext-lessspace"/>
      </w:pPr>
      <w:r w:rsidRPr="0089025E">
        <w:t>The Licence does not cover, and there is no permission given for, use of any of the following material found in this publication (if</w:t>
      </w:r>
      <w:r w:rsidR="000F223B" w:rsidRPr="0089025E">
        <w:t xml:space="preserve"> </w:t>
      </w:r>
      <w:r w:rsidRPr="0089025E">
        <w:t xml:space="preserve">any): </w:t>
      </w:r>
    </w:p>
    <w:p w14:paraId="4CE35A9A" w14:textId="77777777" w:rsidR="000705FF" w:rsidRPr="008355D9" w:rsidRDefault="000705FF" w:rsidP="00AC0F5D">
      <w:pPr>
        <w:pStyle w:val="CDICopyrightbullets"/>
      </w:pPr>
      <w:r w:rsidRPr="008355D9">
        <w:t xml:space="preserve">the Commonwealth Coat of Arms (by way of information, the terms under which the Coat of Arms may be used can be </w:t>
      </w:r>
      <w:r w:rsidRPr="00AC0F5D">
        <w:t>found</w:t>
      </w:r>
      <w:r w:rsidRPr="008355D9">
        <w:t xml:space="preserve"> </w:t>
      </w:r>
      <w:r w:rsidR="006221DD">
        <w:t>on the Department of Prime Minister and Cabinet website</w:t>
      </w:r>
      <w:r w:rsidRPr="008355D9">
        <w:t>;</w:t>
      </w:r>
    </w:p>
    <w:p w14:paraId="4917A448" w14:textId="77777777" w:rsidR="000705FF" w:rsidRPr="0089025E" w:rsidRDefault="000705FF" w:rsidP="00AC0F5D">
      <w:pPr>
        <w:pStyle w:val="CDICopyrightbullets"/>
      </w:pPr>
      <w:r w:rsidRPr="0089025E">
        <w:t xml:space="preserve">any logos (including the </w:t>
      </w:r>
      <w:r w:rsidR="00602AC1">
        <w:t>Department of Health and Aged Care</w:t>
      </w:r>
      <w:r w:rsidRPr="0089025E">
        <w:t>’s logo) and trademarks;</w:t>
      </w:r>
    </w:p>
    <w:p w14:paraId="2B062BEF" w14:textId="77777777" w:rsidR="000705FF" w:rsidRPr="0089025E" w:rsidRDefault="000705FF" w:rsidP="00AC0F5D">
      <w:pPr>
        <w:pStyle w:val="CDICopyrightbullets"/>
      </w:pPr>
      <w:r w:rsidRPr="0089025E">
        <w:t xml:space="preserve">any photographs and images; </w:t>
      </w:r>
    </w:p>
    <w:p w14:paraId="26D03822" w14:textId="77777777" w:rsidR="000705FF" w:rsidRPr="0089025E" w:rsidRDefault="000705FF" w:rsidP="00AC0F5D">
      <w:pPr>
        <w:pStyle w:val="CDICopyrightbullets"/>
      </w:pPr>
      <w:r w:rsidRPr="0089025E">
        <w:t>any signatures; and</w:t>
      </w:r>
    </w:p>
    <w:p w14:paraId="1D062EB2" w14:textId="77777777" w:rsidR="000705FF" w:rsidRPr="0089025E" w:rsidRDefault="000705FF" w:rsidP="00AC0F5D">
      <w:pPr>
        <w:pStyle w:val="CDICopyrightbullets"/>
      </w:pPr>
      <w:r w:rsidRPr="0089025E">
        <w:t xml:space="preserve">any material belonging to third parties. </w:t>
      </w:r>
    </w:p>
    <w:p w14:paraId="113A1AF0" w14:textId="77777777" w:rsidR="000F223B" w:rsidRPr="0089025E" w:rsidRDefault="000705FF" w:rsidP="00194A12">
      <w:pPr>
        <w:pStyle w:val="CDICopyrightheading"/>
      </w:pPr>
      <w:r w:rsidRPr="0089025E">
        <w:t>Disclaimer</w:t>
      </w:r>
    </w:p>
    <w:p w14:paraId="7D282C78" w14:textId="77777777" w:rsidR="000705FF" w:rsidRPr="0089025E" w:rsidRDefault="000705FF" w:rsidP="00194A12">
      <w:pPr>
        <w:pStyle w:val="CDICopyrighttext"/>
      </w:pPr>
      <w:r w:rsidRPr="0089025E">
        <w:t xml:space="preserve">Opinions expressed in </w:t>
      </w:r>
      <w:r w:rsidRPr="00682E53">
        <w:rPr>
          <w:i/>
          <w:iCs/>
        </w:rPr>
        <w:t>Communicable Diseases Intelligence</w:t>
      </w:r>
      <w:r w:rsidR="004B0C95">
        <w:t xml:space="preserve"> </w:t>
      </w:r>
      <w:r w:rsidRPr="0089025E">
        <w:t xml:space="preserve">are those of the authors and not necessarily those of the </w:t>
      </w:r>
      <w:r w:rsidR="00602AC1">
        <w:t>Department of Health and Aged Care</w:t>
      </w:r>
      <w:r w:rsidRPr="0089025E">
        <w:t xml:space="preserve"> or the Communicable Diseases Network Australia. Data may be subject to revision.</w:t>
      </w:r>
    </w:p>
    <w:p w14:paraId="093EFC25" w14:textId="77777777" w:rsidR="000F223B" w:rsidRPr="0089025E" w:rsidRDefault="000705FF" w:rsidP="00194A12">
      <w:pPr>
        <w:pStyle w:val="CDICopyrightheading"/>
      </w:pPr>
      <w:r w:rsidRPr="0089025E">
        <w:t>Enquiries</w:t>
      </w:r>
    </w:p>
    <w:p w14:paraId="505BD75B" w14:textId="389A56E5" w:rsidR="000705FF" w:rsidRPr="00863F8D" w:rsidRDefault="000705FF" w:rsidP="004B0C95">
      <w:pPr>
        <w:pStyle w:val="CDICopyrighttext"/>
      </w:pPr>
      <w:r w:rsidRPr="00863F8D">
        <w:t>Enquiries regarding any other use of this publication should be addressed to the</w:t>
      </w:r>
      <w:r w:rsidR="00661FE1" w:rsidRPr="00863F8D">
        <w:t xml:space="preserve"> </w:t>
      </w:r>
      <w:r w:rsidR="009D0F93" w:rsidRPr="00863F8D">
        <w:t>CDI Editor</w:t>
      </w:r>
      <w:r w:rsidRPr="00863F8D">
        <w:t xml:space="preserve"> </w:t>
      </w:r>
      <w:r w:rsidR="000F223B" w:rsidRPr="00863F8D">
        <w:t xml:space="preserve">at: </w:t>
      </w:r>
      <w:hyperlink r:id="rId43" w:history="1">
        <w:r w:rsidR="00F576E5" w:rsidRPr="00020FD4">
          <w:rPr>
            <w:rStyle w:val="Hyperlink"/>
          </w:rPr>
          <w:t>cdi.editor@health.gov.au</w:t>
        </w:r>
      </w:hyperlink>
      <w:r w:rsidR="00863F8D" w:rsidRPr="00863F8D">
        <w:t>.</w:t>
      </w:r>
    </w:p>
    <w:p w14:paraId="6E619593" w14:textId="77777777" w:rsidR="000F223B" w:rsidRPr="0089025E" w:rsidRDefault="000705FF" w:rsidP="00194A12">
      <w:pPr>
        <w:pStyle w:val="CDICopyrightheading"/>
      </w:pPr>
      <w:r w:rsidRPr="0089025E">
        <w:t>Communicable Diseases Network Australia</w:t>
      </w:r>
    </w:p>
    <w:p w14:paraId="30B4083D" w14:textId="77777777" w:rsidR="00DA2E9E" w:rsidRDefault="000705FF" w:rsidP="00194A12">
      <w:pPr>
        <w:pStyle w:val="CDICopyrighttext"/>
      </w:pPr>
      <w:r w:rsidRPr="0089025E">
        <w:t xml:space="preserve">Communicable Diseases Intelligence contributes to the work of the </w:t>
      </w:r>
      <w:hyperlink r:id="rId44" w:history="1">
        <w:r w:rsidRPr="00C47C8C">
          <w:rPr>
            <w:rStyle w:val="Hyperlink"/>
          </w:rPr>
          <w:t>Communicable Diseases Network Australia</w:t>
        </w:r>
      </w:hyperlink>
      <w:r w:rsidRPr="0089025E">
        <w:t>.</w:t>
      </w:r>
      <w:r w:rsidR="0089025E" w:rsidRPr="0089025E">
        <w:t xml:space="preserve"> </w:t>
      </w:r>
    </w:p>
    <w:p w14:paraId="05ACCBEE" w14:textId="77777777" w:rsidR="004B0C95" w:rsidRDefault="004B0C95" w:rsidP="004B0C95">
      <w:pPr>
        <w:pStyle w:val="Normal-nospace"/>
      </w:pPr>
    </w:p>
    <w:p w14:paraId="51180CAD" w14:textId="77777777" w:rsidR="00126546" w:rsidRPr="00A65DFA" w:rsidRDefault="00126546" w:rsidP="00126546">
      <w:pPr>
        <w:pStyle w:val="CDICopyrighttitle"/>
      </w:pPr>
      <w:r>
        <w:t xml:space="preserve">About </w:t>
      </w:r>
      <w:r w:rsidRPr="00A65DFA">
        <w:t xml:space="preserve">Communicable Diseases </w:t>
      </w:r>
      <w:r w:rsidRPr="00194A12">
        <w:t>Intelligence</w:t>
      </w:r>
    </w:p>
    <w:p w14:paraId="22AB30ED" w14:textId="77777777" w:rsidR="00126546" w:rsidRDefault="00126546" w:rsidP="00126546">
      <w:pPr>
        <w:pStyle w:val="CDICopyrighttext"/>
      </w:pPr>
      <w:r w:rsidRPr="004B0C95">
        <w:rPr>
          <w:i/>
          <w:iCs/>
        </w:rPr>
        <w:t>Communicable Diseases Intelligence</w:t>
      </w:r>
      <w:r w:rsidRPr="0089025E">
        <w:t xml:space="preserve"> (CDI) is a peer-reviewed scientific journal published by the </w:t>
      </w:r>
      <w:r>
        <w:t>Health Security &amp; Emergency Management Division</w:t>
      </w:r>
      <w:r w:rsidRPr="0089025E">
        <w:t>,</w:t>
      </w:r>
      <w:r>
        <w:t xml:space="preserve"> </w:t>
      </w:r>
      <w:r w:rsidR="00602AC1">
        <w:t>Department of Health and Aged Care</w:t>
      </w:r>
      <w:r w:rsidRPr="0089025E">
        <w:t>. The journal aims to disseminate information on the epidemiology, surveillance, prevention and control of communicable diseases of relevance to Australia.</w:t>
      </w:r>
    </w:p>
    <w:p w14:paraId="1C80B30A" w14:textId="77777777" w:rsidR="00126546" w:rsidRPr="0089025E" w:rsidRDefault="00126546" w:rsidP="00126546">
      <w:pPr>
        <w:pStyle w:val="CDICopyrighttext"/>
      </w:pPr>
      <w:r w:rsidRPr="0089025E">
        <w:rPr>
          <w:b/>
          <w:bCs/>
        </w:rPr>
        <w:t>Editor</w:t>
      </w:r>
      <w:r w:rsidRPr="0089025E">
        <w:t xml:space="preserve">: Christina Bareja </w:t>
      </w:r>
      <w:r w:rsidRPr="00D43E8E">
        <w:rPr>
          <w:rStyle w:val="CDICopyrighttextbullet"/>
        </w:rPr>
        <w:t>•</w:t>
      </w:r>
      <w:r w:rsidRPr="0089025E">
        <w:t xml:space="preserve"> </w:t>
      </w:r>
      <w:r w:rsidRPr="0089025E">
        <w:rPr>
          <w:b/>
          <w:bCs/>
        </w:rPr>
        <w:t>Deputy Editor</w:t>
      </w:r>
      <w:r w:rsidRPr="0089025E">
        <w:t xml:space="preserve">: Simon Petrie </w:t>
      </w:r>
      <w:r w:rsidRPr="00D43E8E">
        <w:rPr>
          <w:rStyle w:val="CDICopyrighttextbullet"/>
        </w:rPr>
        <w:t>•</w:t>
      </w:r>
      <w:r w:rsidRPr="0089025E">
        <w:t xml:space="preserve"> </w:t>
      </w:r>
      <w:r w:rsidRPr="0089025E">
        <w:rPr>
          <w:b/>
          <w:bCs/>
        </w:rPr>
        <w:t>Design and Production</w:t>
      </w:r>
      <w:r w:rsidRPr="0089025E">
        <w:t>: Lisa Thompson</w:t>
      </w:r>
    </w:p>
    <w:p w14:paraId="1061504A" w14:textId="77777777" w:rsidR="00126546" w:rsidRPr="0089025E" w:rsidRDefault="00126546" w:rsidP="00126546">
      <w:pPr>
        <w:pStyle w:val="CDICopyrighttext"/>
      </w:pPr>
      <w:r w:rsidRPr="0089025E">
        <w:rPr>
          <w:b/>
          <w:bCs/>
        </w:rPr>
        <w:t>Editorial Advisory Board</w:t>
      </w:r>
      <w:r w:rsidRPr="0089025E">
        <w:t>: David Durrheim, Mark Ferson, Clare Huppatz, John Kaldor, Martyn Kirk</w:t>
      </w:r>
      <w:r>
        <w:t xml:space="preserve"> and </w:t>
      </w:r>
      <w:r w:rsidRPr="0089025E">
        <w:t>Meru Sheel</w:t>
      </w:r>
    </w:p>
    <w:p w14:paraId="0051EF91" w14:textId="77777777" w:rsidR="00A51E0E" w:rsidRPr="0089025E" w:rsidRDefault="00A51E0E" w:rsidP="00A51E0E">
      <w:pPr>
        <w:pStyle w:val="CDICopyrightheading"/>
      </w:pPr>
      <w:r w:rsidRPr="0089025E">
        <w:t xml:space="preserve">Submit an </w:t>
      </w:r>
      <w:proofErr w:type="gramStart"/>
      <w:r w:rsidRPr="0089025E">
        <w:t>Article</w:t>
      </w:r>
      <w:proofErr w:type="gramEnd"/>
    </w:p>
    <w:p w14:paraId="6260487E" w14:textId="77777777" w:rsidR="00A51E0E" w:rsidRPr="0089025E" w:rsidRDefault="00126546" w:rsidP="00A51E0E">
      <w:pPr>
        <w:pStyle w:val="CDICopyrighttext"/>
      </w:pPr>
      <w:r>
        <w:t>S</w:t>
      </w:r>
      <w:r w:rsidR="00A51E0E" w:rsidRPr="0089025E">
        <w:t xml:space="preserve">ubmit your next communicable disease related article to </w:t>
      </w:r>
      <w:r>
        <w:t>C</w:t>
      </w:r>
      <w:r w:rsidR="00A51E0E" w:rsidRPr="0089025E">
        <w:t xml:space="preserve">DI for consideration. </w:t>
      </w:r>
      <w:hyperlink r:id="rId45" w:history="1">
        <w:r w:rsidRPr="004B0C95">
          <w:rPr>
            <w:rStyle w:val="Hyperlink"/>
          </w:rPr>
          <w:t>Information for authors</w:t>
        </w:r>
      </w:hyperlink>
      <w:r>
        <w:t xml:space="preserve"> and details on how to </w:t>
      </w:r>
      <w:hyperlink r:id="rId46" w:anchor="submission_package" w:history="1">
        <w:r w:rsidRPr="004B0C95">
          <w:rPr>
            <w:rStyle w:val="Hyperlink"/>
          </w:rPr>
          <w:t>submit your publication</w:t>
        </w:r>
      </w:hyperlink>
      <w:r>
        <w:t xml:space="preserve"> is available on our </w:t>
      </w:r>
      <w:r w:rsidRPr="004B0C95">
        <w:t>website</w:t>
      </w:r>
      <w:r>
        <w:t xml:space="preserve">, or by email at </w:t>
      </w:r>
      <w:hyperlink r:id="rId47" w:history="1">
        <w:r w:rsidR="00A51E0E" w:rsidRPr="000C6EB5">
          <w:rPr>
            <w:rStyle w:val="Hyperlink"/>
          </w:rPr>
          <w:t>cdi.editor@health.gov.au</w:t>
        </w:r>
      </w:hyperlink>
      <w:r w:rsidR="00863F8D">
        <w:t>.</w:t>
      </w:r>
    </w:p>
    <w:p w14:paraId="22C9FA2B" w14:textId="77777777" w:rsidR="00DE4482" w:rsidRPr="0089025E" w:rsidRDefault="00A51E0E" w:rsidP="00194A12">
      <w:pPr>
        <w:pStyle w:val="CDICopyrightheading"/>
      </w:pPr>
      <w:r>
        <w:t>Contact us</w:t>
      </w:r>
    </w:p>
    <w:p w14:paraId="398F172B" w14:textId="77777777" w:rsidR="00863F8D" w:rsidRDefault="00126546" w:rsidP="00863F8D">
      <w:pPr>
        <w:pStyle w:val="CDICopyrighttext-nospace"/>
      </w:pPr>
      <w:r>
        <w:t>Communicable Diseases Intelligence (CDI)</w:t>
      </w:r>
    </w:p>
    <w:p w14:paraId="41789467" w14:textId="77777777" w:rsidR="00863F8D" w:rsidRDefault="00470C19" w:rsidP="00863F8D">
      <w:pPr>
        <w:pStyle w:val="CDICopyrighttext-nospace"/>
      </w:pPr>
      <w:r>
        <w:t>Health Security &amp; Emergency Management Division</w:t>
      </w:r>
    </w:p>
    <w:p w14:paraId="49E20DB5" w14:textId="77777777" w:rsidR="00863F8D" w:rsidRDefault="00602AC1" w:rsidP="00863F8D">
      <w:pPr>
        <w:pStyle w:val="CDICopyrighttext-nospace"/>
      </w:pPr>
      <w:r>
        <w:t>Department of Health and Aged Care</w:t>
      </w:r>
    </w:p>
    <w:p w14:paraId="0034ADE0" w14:textId="77777777" w:rsidR="000A5F42" w:rsidRPr="0089025E" w:rsidRDefault="00E54BBD" w:rsidP="00863F8D">
      <w:pPr>
        <w:pStyle w:val="CDICopyrighttext-lessspace"/>
      </w:pPr>
      <w:r w:rsidRPr="0089025E">
        <w:t>GPO Box 9848, CANBERRA ACT 2601</w:t>
      </w:r>
    </w:p>
    <w:p w14:paraId="7FFF2B09" w14:textId="77777777" w:rsidR="00863F8D" w:rsidRDefault="00DA2E9E" w:rsidP="00863F8D">
      <w:pPr>
        <w:pStyle w:val="CDICopyrighttext-nospace"/>
      </w:pPr>
      <w:r w:rsidRPr="0089025E">
        <w:t xml:space="preserve">Website: </w:t>
      </w:r>
      <w:hyperlink r:id="rId48" w:history="1">
        <w:r w:rsidR="00AC0F5D" w:rsidRPr="000C6EB5">
          <w:rPr>
            <w:rStyle w:val="Hyperlink"/>
          </w:rPr>
          <w:t>www.health.gov.au/cdi</w:t>
        </w:r>
      </w:hyperlink>
    </w:p>
    <w:p w14:paraId="7B22EF1B" w14:textId="77777777" w:rsidR="000A5F42" w:rsidRPr="0089025E" w:rsidRDefault="000A5F42" w:rsidP="00863F8D">
      <w:pPr>
        <w:pStyle w:val="CDICopyrighttext-lessspace"/>
      </w:pPr>
      <w:r w:rsidRPr="0089025E">
        <w:t xml:space="preserve">Email: </w:t>
      </w:r>
      <w:hyperlink r:id="rId49" w:history="1">
        <w:r w:rsidR="00AC0F5D" w:rsidRPr="000C6EB5">
          <w:rPr>
            <w:rStyle w:val="Hyperlink"/>
          </w:rPr>
          <w:t>cdi.editor@health.gov.au</w:t>
        </w:r>
      </w:hyperlink>
    </w:p>
    <w:sectPr w:rsidR="000A5F42" w:rsidRPr="0089025E" w:rsidSect="00690957">
      <w:footerReference w:type="default" r:id="rId50"/>
      <w:footnotePr>
        <w:numFmt w:val="lowerRoman"/>
      </w:footnotePr>
      <w:pgSz w:w="11907" w:h="16840" w:code="9"/>
      <w:pgMar w:top="1134" w:right="1134" w:bottom="1304" w:left="1134" w:header="709" w:footer="567" w:gutter="0"/>
      <w:cols w:space="708"/>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A5D2F" w14:textId="77777777" w:rsidR="00F2271D" w:rsidRDefault="00F2271D" w:rsidP="00E54DBA">
      <w:r>
        <w:separator/>
      </w:r>
    </w:p>
    <w:p w14:paraId="1915AE71" w14:textId="77777777" w:rsidR="00F2271D" w:rsidRDefault="00F2271D"/>
    <w:p w14:paraId="6FD1DAC6" w14:textId="77777777" w:rsidR="00F2271D" w:rsidRDefault="00F2271D" w:rsidP="008714B0"/>
  </w:endnote>
  <w:endnote w:type="continuationSeparator" w:id="0">
    <w:p w14:paraId="2A6CA297" w14:textId="77777777" w:rsidR="00F2271D" w:rsidRDefault="00F2271D" w:rsidP="00E54DBA">
      <w:r>
        <w:continuationSeparator/>
      </w:r>
    </w:p>
    <w:p w14:paraId="24A65452" w14:textId="77777777" w:rsidR="00F2271D" w:rsidRDefault="00F2271D"/>
    <w:p w14:paraId="1BFDA2FC" w14:textId="77777777" w:rsidR="00F2271D" w:rsidRDefault="00F2271D"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panose1 w:val="00000000000000000000"/>
    <w:charset w:val="00"/>
    <w:family w:val="auto"/>
    <w:pitch w:val="variable"/>
    <w:sig w:usb0="A00002BF" w:usb1="5000206B" w:usb2="00000000" w:usb3="00000000" w:csb0="0000019F" w:csb1="00000000"/>
  </w:font>
  <w:font w:name="MyriadPro-Bold">
    <w:altName w:val="Calibri"/>
    <w:panose1 w:val="00000000000000000000"/>
    <w:charset w:val="00"/>
    <w:family w:val="auto"/>
    <w:notTrueType/>
    <w:pitch w:val="default"/>
    <w:sig w:usb0="00000003" w:usb1="00000000" w:usb2="00000000" w:usb3="00000000" w:csb0="00000001" w:csb1="00000000"/>
  </w:font>
  <w:font w:name="MyriadPro-Regular">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inion3-Bold">
    <w:altName w:val="Calibri"/>
    <w:panose1 w:val="00000000000000000000"/>
    <w:charset w:val="00"/>
    <w:family w:val="auto"/>
    <w:notTrueType/>
    <w:pitch w:val="default"/>
    <w:sig w:usb0="00000003" w:usb1="00000000" w:usb2="00000000" w:usb3="00000000" w:csb0="00000001" w:csb1="00000000"/>
  </w:font>
  <w:font w:name="Minion3Caption-Regular">
    <w:altName w:val="Calibri"/>
    <w:panose1 w:val="00000000000000000000"/>
    <w:charset w:val="00"/>
    <w:family w:val="auto"/>
    <w:notTrueType/>
    <w:pitch w:val="default"/>
    <w:sig w:usb0="00000003" w:usb1="00000000" w:usb2="00000000" w:usb3="00000000" w:csb0="00000001" w:csb1="00000000"/>
  </w:font>
  <w:font w:name="Minion3-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BD57" w14:textId="77777777" w:rsidR="00CF52E4" w:rsidRDefault="00CF52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94486" w14:textId="166332CC" w:rsidR="00A14629" w:rsidRPr="00912A31" w:rsidRDefault="00912A31" w:rsidP="00912A31">
    <w:pPr>
      <w:pStyle w:val="CDIFooter"/>
    </w:pPr>
    <w:r w:rsidRPr="001D0612">
      <w:t xml:space="preserve">www.health.gov.au/cdi </w:t>
    </w:r>
    <w:r w:rsidRPr="00912A31">
      <w:rPr>
        <w:rStyle w:val="CDICopyrighttextbullet"/>
      </w:rPr>
      <w:t>•</w:t>
    </w:r>
    <w:r w:rsidRPr="001D0612">
      <w:rPr>
        <w:rFonts w:cstheme="minorHAnsi"/>
      </w:rPr>
      <w:t xml:space="preserve"> </w:t>
    </w:r>
    <w:r w:rsidRPr="00F664DD">
      <w:rPr>
        <w:i/>
        <w:iCs/>
      </w:rPr>
      <w:t>Commun Dis Intell (2018)</w:t>
    </w:r>
    <w:r w:rsidRPr="001D0612">
      <w:t xml:space="preserve">  </w:t>
    </w:r>
    <w:fldSimple w:instr=" DOCPROPERTY  Year  \* MERGEFORMAT ">
      <w:r w:rsidR="00F2271D">
        <w:t>2025</w:t>
      </w:r>
    </w:fldSimple>
    <w:r w:rsidRPr="001D0612">
      <w:t xml:space="preserve"> </w:t>
    </w:r>
    <w:fldSimple w:instr=" DOCPROPERTY  Vol  \* MERGEFORMAT ">
      <w:r w:rsidR="00F2271D">
        <w:t>49</w:t>
      </w:r>
    </w:fldSimple>
    <w:r w:rsidRPr="001D0612">
      <w:t xml:space="preserve">  (</w:t>
    </w:r>
    <w:fldSimple w:instr=" DOCPROPERTY  DOI  \* MERGEFORMAT ">
      <w:r w:rsidR="00EF45A2">
        <w:t>https://doi.org/10.33321/cdi.2025.49.016</w:t>
      </w:r>
    </w:fldSimple>
    <w:r w:rsidRPr="001D0612">
      <w:t xml:space="preserve">) </w:t>
    </w:r>
    <w:r w:rsidRPr="00912A31">
      <w:rPr>
        <w:rStyle w:val="CDICopyrighttextbullet"/>
      </w:rPr>
      <w:t>•</w:t>
    </w:r>
    <w:r w:rsidRPr="001D0612">
      <w:rPr>
        <w:rFonts w:cstheme="minorHAnsi"/>
      </w:rPr>
      <w:t xml:space="preserve"> </w:t>
    </w:r>
    <w:r w:rsidRPr="001D0612">
      <w:t xml:space="preserve">Epub </w:t>
    </w:r>
    <w:fldSimple w:instr=" DOCPROPERTY  ePubDate  \* MERGEFORMAT ">
      <w:r w:rsidR="00EF45A2">
        <w:t>25/03/2025</w:t>
      </w:r>
    </w:fldSimple>
    <w:r w:rsidR="00040B99">
      <w:ptab w:relativeTo="margin" w:alignment="right" w:leader="none"/>
    </w:r>
    <w:r w:rsidR="00040B99" w:rsidRPr="00040B99">
      <w:fldChar w:fldCharType="begin"/>
    </w:r>
    <w:r w:rsidR="00040B99" w:rsidRPr="00040B99">
      <w:instrText xml:space="preserve"> PAGE   \* MERGEFORMAT </w:instrText>
    </w:r>
    <w:r w:rsidR="00040B99" w:rsidRPr="00040B99">
      <w:fldChar w:fldCharType="separate"/>
    </w:r>
    <w:r w:rsidR="00040B99" w:rsidRPr="00040B99">
      <w:rPr>
        <w:noProof/>
      </w:rPr>
      <w:t>1</w:t>
    </w:r>
    <w:r w:rsidR="00040B99" w:rsidRPr="00040B9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C73E2" w14:textId="77777777" w:rsidR="00CF52E4" w:rsidRPr="00EF45A2" w:rsidRDefault="00CF52E4" w:rsidP="00EF45A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15AC" w14:textId="07C5FA33" w:rsidR="00AB3C13" w:rsidRDefault="00343991" w:rsidP="00690957">
    <w:pPr>
      <w:pStyle w:val="CDIFooter"/>
    </w:pPr>
    <w:r w:rsidRPr="001D0612">
      <w:t xml:space="preserve">www.health.gov.au/cdi </w:t>
    </w:r>
    <w:r w:rsidRPr="00AC7CD7">
      <w:rPr>
        <w:rStyle w:val="CDICopyrighttextbullet"/>
      </w:rPr>
      <w:t>•</w:t>
    </w:r>
    <w:r w:rsidRPr="001D0612">
      <w:rPr>
        <w:rFonts w:cstheme="minorHAnsi"/>
      </w:rPr>
      <w:t xml:space="preserve"> </w:t>
    </w:r>
    <w:r w:rsidRPr="00AC7CD7">
      <w:rPr>
        <w:i/>
        <w:iCs/>
      </w:rPr>
      <w:t>Commun Dis Intell (2018)</w:t>
    </w:r>
    <w:r w:rsidRPr="001D0612">
      <w:t xml:space="preserve">  </w:t>
    </w:r>
    <w:fldSimple w:instr=" DOCPROPERTY  Year  \* MERGEFORMAT ">
      <w:r w:rsidR="00F2271D">
        <w:t>2025</w:t>
      </w:r>
    </w:fldSimple>
    <w:r w:rsidRPr="001D0612">
      <w:t xml:space="preserve"> </w:t>
    </w:r>
    <w:fldSimple w:instr=" DOCPROPERTY  Vol  \* MERGEFORMAT ">
      <w:r w:rsidR="00F2271D">
        <w:t>49</w:t>
      </w:r>
    </w:fldSimple>
    <w:r w:rsidRPr="001D0612">
      <w:t xml:space="preserve">  (</w:t>
    </w:r>
    <w:fldSimple w:instr=" DOCPROPERTY  DOI  \* MERGEFORMAT ">
      <w:r w:rsidR="00EF45A2">
        <w:t>https://doi.org/10.33321/cdi.2025.49.016</w:t>
      </w:r>
    </w:fldSimple>
    <w:r w:rsidRPr="001D0612">
      <w:t xml:space="preserve">) </w:t>
    </w:r>
    <w:r w:rsidRPr="00AC7CD7">
      <w:rPr>
        <w:rStyle w:val="CDICopyrighttextbullet"/>
      </w:rPr>
      <w:t>•</w:t>
    </w:r>
    <w:r w:rsidRPr="001D0612">
      <w:rPr>
        <w:rFonts w:cstheme="minorHAnsi"/>
      </w:rPr>
      <w:t xml:space="preserve"> </w:t>
    </w:r>
    <w:r w:rsidRPr="001D0612">
      <w:t xml:space="preserve">Epub </w:t>
    </w:r>
    <w:fldSimple w:instr=" DOCPROPERTY  ePubDate  \* MERGEFORMAT ">
      <w:r w:rsidR="00EF45A2">
        <w:t>25/03/2025</w:t>
      </w:r>
    </w:fldSimple>
    <w:r w:rsidR="00040B99">
      <w:ptab w:relativeTo="margin" w:alignment="right" w:leader="none"/>
    </w:r>
    <w:r w:rsidRPr="001D0612">
      <w:fldChar w:fldCharType="begin"/>
    </w:r>
    <w:r w:rsidRPr="001D0612">
      <w:instrText xml:space="preserve"> PAGE   \* MERGEFORMAT </w:instrText>
    </w:r>
    <w:r w:rsidRPr="001D0612">
      <w:fldChar w:fldCharType="separate"/>
    </w:r>
    <w:r>
      <w:t>3</w:t>
    </w:r>
    <w:r w:rsidRPr="001D06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82BCA" w14:textId="77777777" w:rsidR="00F2271D" w:rsidRPr="00B91FB5" w:rsidRDefault="00F2271D" w:rsidP="00DB485B">
      <w:pPr>
        <w:spacing w:after="60" w:line="240" w:lineRule="auto"/>
        <w:rPr>
          <w:sz w:val="18"/>
          <w:szCs w:val="18"/>
        </w:rPr>
      </w:pPr>
      <w:r w:rsidRPr="00B91FB5">
        <w:rPr>
          <w:sz w:val="18"/>
          <w:szCs w:val="18"/>
        </w:rPr>
        <w:separator/>
      </w:r>
    </w:p>
  </w:footnote>
  <w:footnote w:type="continuationSeparator" w:id="0">
    <w:p w14:paraId="0873402F" w14:textId="77777777" w:rsidR="00F2271D" w:rsidRDefault="00F2271D" w:rsidP="00E54DBA">
      <w:r>
        <w:continuationSeparator/>
      </w:r>
    </w:p>
  </w:footnote>
  <w:footnote w:type="continuationNotice" w:id="1">
    <w:p w14:paraId="592DCE29" w14:textId="77777777" w:rsidR="00F2271D" w:rsidRPr="00224EFF" w:rsidRDefault="00F2271D" w:rsidP="00224EFF"/>
  </w:footnote>
  <w:footnote w:id="2">
    <w:p w14:paraId="62777703" w14:textId="617FF51B" w:rsidR="00437A2A" w:rsidRDefault="00437A2A" w:rsidP="00437A2A">
      <w:pPr>
        <w:pStyle w:val="CDIFooter"/>
      </w:pPr>
      <w:r w:rsidRPr="00437A2A">
        <w:footnoteRef/>
      </w:r>
      <w:r>
        <w:tab/>
        <w:t xml:space="preserve">REDCap: Research Lectronic Data Capture. </w:t>
      </w:r>
      <w:hyperlink r:id="rId1" w:history="1">
        <w:r w:rsidRPr="00984EAF">
          <w:rPr>
            <w:rStyle w:val="Hyperlink"/>
          </w:rPr>
          <w:t>https://www.project-redcap.org/</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06211" w14:textId="77777777" w:rsidR="00CF52E4" w:rsidRDefault="00CF52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AA722" w14:textId="77777777" w:rsidR="00CF52E4" w:rsidRDefault="00CF52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F833B" w14:textId="77777777" w:rsidR="00A14629" w:rsidRDefault="006B16A5" w:rsidP="006B16A5">
    <w:pPr>
      <w:pStyle w:val="CDIJournal"/>
    </w:pPr>
    <w:r w:rsidRPr="006B16A5">
      <w:t>Communicable</w:t>
    </w:r>
    <w:r>
      <w:t xml:space="preserve"> Diseases Intelligence</w:t>
    </w:r>
    <w:r w:rsidR="00962C2F">
      <w:rPr>
        <w:noProof/>
      </w:rPr>
      <w:drawing>
        <wp:anchor distT="0" distB="0" distL="114300" distR="114300" simplePos="0" relativeHeight="251659264" behindDoc="1" locked="1" layoutInCell="1" allowOverlap="1" wp14:anchorId="01B22E7E" wp14:editId="2BAE3B4B">
          <wp:simplePos x="0" y="0"/>
          <wp:positionH relativeFrom="page">
            <wp:align>left</wp:align>
          </wp:positionH>
          <wp:positionV relativeFrom="page">
            <wp:align>top</wp:align>
          </wp:positionV>
          <wp:extent cx="7556400" cy="2268000"/>
          <wp:effectExtent l="0" t="0" r="6985" b="0"/>
          <wp:wrapNone/>
          <wp:docPr id="726478889" name="Picture 726478889" descr="A green rectangle with teal and white strokes displaying the logo for the interim Australian Centre for Disease Control and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918223" name="Picture 2024918223" descr="A green rectangle with teal and white strokes displaying the logo for the interim Australian Centre for Disease Control and Department of Health and Aged Car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6400" cy="226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47FAF"/>
    <w:multiLevelType w:val="hybridMultilevel"/>
    <w:tmpl w:val="5B94B1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FD80A6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4791E94"/>
    <w:multiLevelType w:val="hybridMultilevel"/>
    <w:tmpl w:val="09A44BB6"/>
    <w:lvl w:ilvl="0" w:tplc="92961A60">
      <w:start w:val="1"/>
      <w:numFmt w:val="bullet"/>
      <w:pStyle w:val="CDITable-RowBullets"/>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E23D41"/>
    <w:multiLevelType w:val="hybridMultilevel"/>
    <w:tmpl w:val="62D84E70"/>
    <w:lvl w:ilvl="0" w:tplc="79A29DFE">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D5021"/>
    <w:multiLevelType w:val="hybridMultilevel"/>
    <w:tmpl w:val="88A22B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5F1EF6"/>
    <w:multiLevelType w:val="hybridMultilevel"/>
    <w:tmpl w:val="88A251AE"/>
    <w:lvl w:ilvl="0" w:tplc="02BEA01A">
      <w:start w:val="1"/>
      <w:numFmt w:val="decimal"/>
      <w:pStyle w:val="CDINumberedList1-L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CB7B26"/>
    <w:multiLevelType w:val="hybridMultilevel"/>
    <w:tmpl w:val="FF5273AA"/>
    <w:lvl w:ilvl="0" w:tplc="3362C0A6">
      <w:start w:val="1"/>
      <w:numFmt w:val="bullet"/>
      <w:pStyle w:val="CDIBullets-L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C34111"/>
    <w:multiLevelType w:val="hybridMultilevel"/>
    <w:tmpl w:val="BD2248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7D3EE2"/>
    <w:multiLevelType w:val="hybridMultilevel"/>
    <w:tmpl w:val="3AB20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0D270B0"/>
    <w:multiLevelType w:val="hybridMultilevel"/>
    <w:tmpl w:val="B0009DC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0C14B8B"/>
    <w:multiLevelType w:val="hybridMultilevel"/>
    <w:tmpl w:val="2320CF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E2038"/>
    <w:multiLevelType w:val="hybridMultilevel"/>
    <w:tmpl w:val="8FA42C44"/>
    <w:lvl w:ilvl="0" w:tplc="8D624FEC">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3D37045"/>
    <w:multiLevelType w:val="hybridMultilevel"/>
    <w:tmpl w:val="8A045308"/>
    <w:lvl w:ilvl="0" w:tplc="8988957A">
      <w:start w:val="1"/>
      <w:numFmt w:val="bullet"/>
      <w:pStyle w:val="CDICopyrightbullets"/>
      <w:lvlText w:val=""/>
      <w:lvlJc w:val="left"/>
      <w:pPr>
        <w:ind w:left="360" w:hanging="360"/>
      </w:pPr>
      <w:rPr>
        <w:rFonts w:ascii="Symbol" w:hAnsi="Symbol" w:hint="default"/>
        <w:color w:val="00DCA1"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2A9135D"/>
    <w:multiLevelType w:val="multilevel"/>
    <w:tmpl w:val="1D3E1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608516B"/>
    <w:multiLevelType w:val="hybridMultilevel"/>
    <w:tmpl w:val="6D4EEC48"/>
    <w:lvl w:ilvl="0" w:tplc="4EA20708">
      <w:start w:val="1"/>
      <w:numFmt w:val="bullet"/>
      <w:pStyle w:val="CDIBoxbullet-Green"/>
      <w:lvlText w:val=""/>
      <w:lvlJc w:val="left"/>
      <w:pPr>
        <w:ind w:left="720" w:hanging="360"/>
      </w:pPr>
      <w:rPr>
        <w:rFonts w:ascii="Symbol" w:hAnsi="Symbol" w:hint="default"/>
        <w:color w:val="00DCA1" w:themeColor="background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08296814">
    <w:abstractNumId w:val="7"/>
  </w:num>
  <w:num w:numId="2" w16cid:durableId="1897424293">
    <w:abstractNumId w:val="12"/>
  </w:num>
  <w:num w:numId="3" w16cid:durableId="1257204005">
    <w:abstractNumId w:val="13"/>
  </w:num>
  <w:num w:numId="4" w16cid:durableId="249435281">
    <w:abstractNumId w:val="6"/>
  </w:num>
  <w:num w:numId="5" w16cid:durableId="1065370261">
    <w:abstractNumId w:val="17"/>
  </w:num>
  <w:num w:numId="6" w16cid:durableId="1981112450">
    <w:abstractNumId w:val="18"/>
  </w:num>
  <w:num w:numId="7" w16cid:durableId="1847285225">
    <w:abstractNumId w:val="19"/>
  </w:num>
  <w:num w:numId="8" w16cid:durableId="1155611035">
    <w:abstractNumId w:val="9"/>
  </w:num>
  <w:num w:numId="9" w16cid:durableId="1609970672">
    <w:abstractNumId w:val="15"/>
  </w:num>
  <w:num w:numId="10" w16cid:durableId="1791893130">
    <w:abstractNumId w:val="11"/>
  </w:num>
  <w:num w:numId="11" w16cid:durableId="470942222">
    <w:abstractNumId w:val="0"/>
  </w:num>
  <w:num w:numId="12" w16cid:durableId="564532051">
    <w:abstractNumId w:val="1"/>
  </w:num>
  <w:num w:numId="13" w16cid:durableId="1881085909">
    <w:abstractNumId w:val="3"/>
  </w:num>
  <w:num w:numId="14" w16cid:durableId="1568371897">
    <w:abstractNumId w:val="4"/>
  </w:num>
  <w:num w:numId="15" w16cid:durableId="1940402864">
    <w:abstractNumId w:val="10"/>
  </w:num>
  <w:num w:numId="16" w16cid:durableId="1786655782">
    <w:abstractNumId w:val="14"/>
  </w:num>
  <w:num w:numId="17" w16cid:durableId="479153694">
    <w:abstractNumId w:val="5"/>
  </w:num>
  <w:num w:numId="18" w16cid:durableId="283313819">
    <w:abstractNumId w:val="8"/>
  </w:num>
  <w:num w:numId="19" w16cid:durableId="1861163522">
    <w:abstractNumId w:val="5"/>
    <w:lvlOverride w:ilvl="0">
      <w:startOverride w:val="1"/>
    </w:lvlOverride>
  </w:num>
  <w:num w:numId="20" w16cid:durableId="1804809668">
    <w:abstractNumId w:val="5"/>
    <w:lvlOverride w:ilvl="0">
      <w:startOverride w:val="1"/>
    </w:lvlOverride>
  </w:num>
  <w:num w:numId="21" w16cid:durableId="1603873510">
    <w:abstractNumId w:val="5"/>
    <w:lvlOverride w:ilvl="0">
      <w:startOverride w:val="1"/>
    </w:lvlOverride>
  </w:num>
  <w:num w:numId="22" w16cid:durableId="914365539">
    <w:abstractNumId w:val="5"/>
    <w:lvlOverride w:ilvl="0">
      <w:startOverride w:val="1"/>
    </w:lvlOverride>
  </w:num>
  <w:num w:numId="23" w16cid:durableId="1022317170">
    <w:abstractNumId w:val="5"/>
    <w:lvlOverride w:ilvl="0">
      <w:startOverride w:val="1"/>
    </w:lvlOverride>
  </w:num>
  <w:num w:numId="24" w16cid:durableId="1343896282">
    <w:abstractNumId w:val="5"/>
    <w:lvlOverride w:ilvl="0">
      <w:startOverride w:val="1"/>
    </w:lvlOverride>
  </w:num>
  <w:num w:numId="25" w16cid:durableId="195311537">
    <w:abstractNumId w:val="5"/>
    <w:lvlOverride w:ilvl="0">
      <w:startOverride w:val="1"/>
    </w:lvlOverride>
  </w:num>
  <w:num w:numId="26" w16cid:durableId="939068915">
    <w:abstractNumId w:val="5"/>
    <w:lvlOverride w:ilvl="0">
      <w:startOverride w:val="1"/>
    </w:lvlOverride>
  </w:num>
  <w:num w:numId="27" w16cid:durableId="1996446220">
    <w:abstractNumId w:val="5"/>
    <w:lvlOverride w:ilvl="0">
      <w:startOverride w:val="1"/>
    </w:lvlOverride>
  </w:num>
  <w:num w:numId="28" w16cid:durableId="1808283431">
    <w:abstractNumId w:val="5"/>
    <w:lvlOverride w:ilvl="0">
      <w:startOverride w:val="1"/>
    </w:lvlOverride>
  </w:num>
  <w:num w:numId="29" w16cid:durableId="1886942018">
    <w:abstractNumId w:val="8"/>
  </w:num>
  <w:num w:numId="30" w16cid:durableId="1615593665">
    <w:abstractNumId w:val="16"/>
  </w:num>
  <w:num w:numId="31" w16cid:durableId="528883462">
    <w:abstractNumId w:val="2"/>
  </w:num>
  <w:num w:numId="32" w16cid:durableId="1956327888">
    <w:abstractNumId w:val="5"/>
    <w:lvlOverride w:ilvl="0">
      <w:startOverride w:val="1"/>
    </w:lvlOverride>
  </w:num>
  <w:num w:numId="33" w16cid:durableId="1590312649">
    <w:abstractNumId w:val="20"/>
  </w:num>
  <w:num w:numId="34" w16cid:durableId="545146981">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1D"/>
    <w:rsid w:val="00000B5B"/>
    <w:rsid w:val="00001611"/>
    <w:rsid w:val="00002B8D"/>
    <w:rsid w:val="00003DE5"/>
    <w:rsid w:val="000104A8"/>
    <w:rsid w:val="0001246E"/>
    <w:rsid w:val="000124B1"/>
    <w:rsid w:val="000147ED"/>
    <w:rsid w:val="00014B0F"/>
    <w:rsid w:val="0001562E"/>
    <w:rsid w:val="00016FE6"/>
    <w:rsid w:val="0002642D"/>
    <w:rsid w:val="00026D55"/>
    <w:rsid w:val="00031064"/>
    <w:rsid w:val="00031692"/>
    <w:rsid w:val="00032531"/>
    <w:rsid w:val="000325A0"/>
    <w:rsid w:val="00032BCB"/>
    <w:rsid w:val="00034DCB"/>
    <w:rsid w:val="00040B99"/>
    <w:rsid w:val="000420DA"/>
    <w:rsid w:val="000471BF"/>
    <w:rsid w:val="00047B68"/>
    <w:rsid w:val="00052600"/>
    <w:rsid w:val="0005643C"/>
    <w:rsid w:val="0006264A"/>
    <w:rsid w:val="00065A6B"/>
    <w:rsid w:val="00066764"/>
    <w:rsid w:val="00066D07"/>
    <w:rsid w:val="000705FF"/>
    <w:rsid w:val="000733B3"/>
    <w:rsid w:val="00073D77"/>
    <w:rsid w:val="00081655"/>
    <w:rsid w:val="00084BAB"/>
    <w:rsid w:val="000864E0"/>
    <w:rsid w:val="00087301"/>
    <w:rsid w:val="000969B3"/>
    <w:rsid w:val="000A26CA"/>
    <w:rsid w:val="000A5F42"/>
    <w:rsid w:val="000C34E2"/>
    <w:rsid w:val="000C3D48"/>
    <w:rsid w:val="000C3FB4"/>
    <w:rsid w:val="000D1897"/>
    <w:rsid w:val="000D4B4D"/>
    <w:rsid w:val="000E1322"/>
    <w:rsid w:val="000E6C4C"/>
    <w:rsid w:val="000F223B"/>
    <w:rsid w:val="000F73D7"/>
    <w:rsid w:val="001020EE"/>
    <w:rsid w:val="00110B7D"/>
    <w:rsid w:val="00112E44"/>
    <w:rsid w:val="00113D58"/>
    <w:rsid w:val="001200CB"/>
    <w:rsid w:val="00122ADA"/>
    <w:rsid w:val="00126546"/>
    <w:rsid w:val="001371D9"/>
    <w:rsid w:val="001378A3"/>
    <w:rsid w:val="00146435"/>
    <w:rsid w:val="00153D94"/>
    <w:rsid w:val="00155582"/>
    <w:rsid w:val="00161590"/>
    <w:rsid w:val="00161C85"/>
    <w:rsid w:val="00163BE3"/>
    <w:rsid w:val="001704D1"/>
    <w:rsid w:val="0017056E"/>
    <w:rsid w:val="00171CC0"/>
    <w:rsid w:val="001723AC"/>
    <w:rsid w:val="00175494"/>
    <w:rsid w:val="00175629"/>
    <w:rsid w:val="001830EC"/>
    <w:rsid w:val="00183534"/>
    <w:rsid w:val="0018758E"/>
    <w:rsid w:val="00194A12"/>
    <w:rsid w:val="00197A4A"/>
    <w:rsid w:val="00197ACB"/>
    <w:rsid w:val="001A26DD"/>
    <w:rsid w:val="001A492C"/>
    <w:rsid w:val="001A4A96"/>
    <w:rsid w:val="001A5900"/>
    <w:rsid w:val="001A5D05"/>
    <w:rsid w:val="001A796C"/>
    <w:rsid w:val="001B0E7B"/>
    <w:rsid w:val="001B248E"/>
    <w:rsid w:val="001B2614"/>
    <w:rsid w:val="001B37B8"/>
    <w:rsid w:val="001B552F"/>
    <w:rsid w:val="001C0893"/>
    <w:rsid w:val="001C1303"/>
    <w:rsid w:val="001C1BD1"/>
    <w:rsid w:val="001C2B4B"/>
    <w:rsid w:val="001C5BB1"/>
    <w:rsid w:val="001C5F09"/>
    <w:rsid w:val="001C70B2"/>
    <w:rsid w:val="001D0612"/>
    <w:rsid w:val="001D37C7"/>
    <w:rsid w:val="001D5BE6"/>
    <w:rsid w:val="001D6888"/>
    <w:rsid w:val="001E3AC7"/>
    <w:rsid w:val="001E4E1D"/>
    <w:rsid w:val="001E562B"/>
    <w:rsid w:val="001F0D9D"/>
    <w:rsid w:val="001F6248"/>
    <w:rsid w:val="00221481"/>
    <w:rsid w:val="00223F42"/>
    <w:rsid w:val="00224EFF"/>
    <w:rsid w:val="002276DC"/>
    <w:rsid w:val="00227E00"/>
    <w:rsid w:val="002307CB"/>
    <w:rsid w:val="00231046"/>
    <w:rsid w:val="00234F21"/>
    <w:rsid w:val="00235916"/>
    <w:rsid w:val="00236A5F"/>
    <w:rsid w:val="00242659"/>
    <w:rsid w:val="002428F7"/>
    <w:rsid w:val="00242A9E"/>
    <w:rsid w:val="0024315F"/>
    <w:rsid w:val="0024631C"/>
    <w:rsid w:val="00252C9A"/>
    <w:rsid w:val="00254E56"/>
    <w:rsid w:val="00256309"/>
    <w:rsid w:val="00257484"/>
    <w:rsid w:val="00260636"/>
    <w:rsid w:val="00262EA6"/>
    <w:rsid w:val="00271AFA"/>
    <w:rsid w:val="00275C5C"/>
    <w:rsid w:val="00275C78"/>
    <w:rsid w:val="00275F5D"/>
    <w:rsid w:val="00280594"/>
    <w:rsid w:val="00281EE3"/>
    <w:rsid w:val="00282B56"/>
    <w:rsid w:val="00284E4A"/>
    <w:rsid w:val="002A3799"/>
    <w:rsid w:val="002A3BCC"/>
    <w:rsid w:val="002A4516"/>
    <w:rsid w:val="002A569F"/>
    <w:rsid w:val="002A5B2C"/>
    <w:rsid w:val="002A7066"/>
    <w:rsid w:val="002B001E"/>
    <w:rsid w:val="002B09B7"/>
    <w:rsid w:val="002B493C"/>
    <w:rsid w:val="002B75A9"/>
    <w:rsid w:val="002C21B0"/>
    <w:rsid w:val="002C3003"/>
    <w:rsid w:val="002C5D55"/>
    <w:rsid w:val="002E2FB3"/>
    <w:rsid w:val="002F327B"/>
    <w:rsid w:val="00301626"/>
    <w:rsid w:val="003059EC"/>
    <w:rsid w:val="00316727"/>
    <w:rsid w:val="00316CCD"/>
    <w:rsid w:val="00324F7E"/>
    <w:rsid w:val="0032526F"/>
    <w:rsid w:val="003316F4"/>
    <w:rsid w:val="003323BC"/>
    <w:rsid w:val="00341720"/>
    <w:rsid w:val="00343991"/>
    <w:rsid w:val="00346D42"/>
    <w:rsid w:val="00346E11"/>
    <w:rsid w:val="00351364"/>
    <w:rsid w:val="00351A5A"/>
    <w:rsid w:val="003601C0"/>
    <w:rsid w:val="003635F5"/>
    <w:rsid w:val="00371080"/>
    <w:rsid w:val="0037146D"/>
    <w:rsid w:val="00372A88"/>
    <w:rsid w:val="00381A0F"/>
    <w:rsid w:val="00381E8E"/>
    <w:rsid w:val="00390F66"/>
    <w:rsid w:val="00392D07"/>
    <w:rsid w:val="00393B4D"/>
    <w:rsid w:val="003A1B3A"/>
    <w:rsid w:val="003A40F5"/>
    <w:rsid w:val="003A5BF3"/>
    <w:rsid w:val="003B3487"/>
    <w:rsid w:val="003B5B8C"/>
    <w:rsid w:val="003B7ADD"/>
    <w:rsid w:val="003C554E"/>
    <w:rsid w:val="003C5E16"/>
    <w:rsid w:val="003C7841"/>
    <w:rsid w:val="003D15AE"/>
    <w:rsid w:val="003D5EAA"/>
    <w:rsid w:val="003D79B1"/>
    <w:rsid w:val="003E1551"/>
    <w:rsid w:val="003E74EE"/>
    <w:rsid w:val="003F0552"/>
    <w:rsid w:val="003F3BC2"/>
    <w:rsid w:val="003F5172"/>
    <w:rsid w:val="003F725B"/>
    <w:rsid w:val="00401ED1"/>
    <w:rsid w:val="0040224C"/>
    <w:rsid w:val="004101DC"/>
    <w:rsid w:val="00411852"/>
    <w:rsid w:val="004118D0"/>
    <w:rsid w:val="00413397"/>
    <w:rsid w:val="00413EE1"/>
    <w:rsid w:val="00415494"/>
    <w:rsid w:val="004164BB"/>
    <w:rsid w:val="0042000E"/>
    <w:rsid w:val="00421ECE"/>
    <w:rsid w:val="004228F2"/>
    <w:rsid w:val="00422FEB"/>
    <w:rsid w:val="0042435E"/>
    <w:rsid w:val="004315F5"/>
    <w:rsid w:val="00433456"/>
    <w:rsid w:val="00433DFA"/>
    <w:rsid w:val="00435D67"/>
    <w:rsid w:val="0043642C"/>
    <w:rsid w:val="0043704E"/>
    <w:rsid w:val="00437A2A"/>
    <w:rsid w:val="00461653"/>
    <w:rsid w:val="00464A58"/>
    <w:rsid w:val="00464E0D"/>
    <w:rsid w:val="00470721"/>
    <w:rsid w:val="00470C19"/>
    <w:rsid w:val="00471494"/>
    <w:rsid w:val="00473D2D"/>
    <w:rsid w:val="00491C26"/>
    <w:rsid w:val="004A19B8"/>
    <w:rsid w:val="004A2125"/>
    <w:rsid w:val="004A38F6"/>
    <w:rsid w:val="004B0C95"/>
    <w:rsid w:val="004B1266"/>
    <w:rsid w:val="004B4EB6"/>
    <w:rsid w:val="004B4F34"/>
    <w:rsid w:val="004C04D3"/>
    <w:rsid w:val="004C083C"/>
    <w:rsid w:val="004C3BDE"/>
    <w:rsid w:val="004C5AF1"/>
    <w:rsid w:val="004C62AA"/>
    <w:rsid w:val="004C67C6"/>
    <w:rsid w:val="004D29DE"/>
    <w:rsid w:val="004E1094"/>
    <w:rsid w:val="004E2E81"/>
    <w:rsid w:val="0050662A"/>
    <w:rsid w:val="00510EAC"/>
    <w:rsid w:val="00513453"/>
    <w:rsid w:val="00526875"/>
    <w:rsid w:val="00532189"/>
    <w:rsid w:val="00542A57"/>
    <w:rsid w:val="00545068"/>
    <w:rsid w:val="0054635D"/>
    <w:rsid w:val="005635C8"/>
    <w:rsid w:val="00565974"/>
    <w:rsid w:val="005732C0"/>
    <w:rsid w:val="0057336D"/>
    <w:rsid w:val="0057489A"/>
    <w:rsid w:val="00574ACF"/>
    <w:rsid w:val="00581588"/>
    <w:rsid w:val="0058540B"/>
    <w:rsid w:val="00587C87"/>
    <w:rsid w:val="00590B80"/>
    <w:rsid w:val="005B3134"/>
    <w:rsid w:val="005B4E61"/>
    <w:rsid w:val="005B595A"/>
    <w:rsid w:val="005B66C2"/>
    <w:rsid w:val="005C1AA0"/>
    <w:rsid w:val="005C66A6"/>
    <w:rsid w:val="005D2465"/>
    <w:rsid w:val="005D4A40"/>
    <w:rsid w:val="005D79A5"/>
    <w:rsid w:val="005E33DD"/>
    <w:rsid w:val="005E3E4C"/>
    <w:rsid w:val="005E4229"/>
    <w:rsid w:val="005E5181"/>
    <w:rsid w:val="005E540E"/>
    <w:rsid w:val="005E55FB"/>
    <w:rsid w:val="005E6E46"/>
    <w:rsid w:val="005E709A"/>
    <w:rsid w:val="005F16BB"/>
    <w:rsid w:val="00602AC1"/>
    <w:rsid w:val="00604098"/>
    <w:rsid w:val="00606DFF"/>
    <w:rsid w:val="00607115"/>
    <w:rsid w:val="006108F2"/>
    <w:rsid w:val="00620509"/>
    <w:rsid w:val="00620768"/>
    <w:rsid w:val="006221DD"/>
    <w:rsid w:val="00624477"/>
    <w:rsid w:val="0062594B"/>
    <w:rsid w:val="00627997"/>
    <w:rsid w:val="006306A8"/>
    <w:rsid w:val="006307C1"/>
    <w:rsid w:val="00631406"/>
    <w:rsid w:val="006324FF"/>
    <w:rsid w:val="00632787"/>
    <w:rsid w:val="006351D6"/>
    <w:rsid w:val="00636E0D"/>
    <w:rsid w:val="0064142F"/>
    <w:rsid w:val="00642894"/>
    <w:rsid w:val="00643CB4"/>
    <w:rsid w:val="00644B9D"/>
    <w:rsid w:val="00656427"/>
    <w:rsid w:val="00660255"/>
    <w:rsid w:val="00661FE1"/>
    <w:rsid w:val="00663EA5"/>
    <w:rsid w:val="00666D94"/>
    <w:rsid w:val="00672B86"/>
    <w:rsid w:val="00681509"/>
    <w:rsid w:val="00682146"/>
    <w:rsid w:val="00682E53"/>
    <w:rsid w:val="00683E6F"/>
    <w:rsid w:val="006862C0"/>
    <w:rsid w:val="00690811"/>
    <w:rsid w:val="00690957"/>
    <w:rsid w:val="00693DAE"/>
    <w:rsid w:val="00697039"/>
    <w:rsid w:val="006971F3"/>
    <w:rsid w:val="006A12BE"/>
    <w:rsid w:val="006B16A5"/>
    <w:rsid w:val="006B337D"/>
    <w:rsid w:val="006C2787"/>
    <w:rsid w:val="006C74A3"/>
    <w:rsid w:val="006D1381"/>
    <w:rsid w:val="006D31BC"/>
    <w:rsid w:val="006D4979"/>
    <w:rsid w:val="006D508B"/>
    <w:rsid w:val="006D6625"/>
    <w:rsid w:val="006E7943"/>
    <w:rsid w:val="006F24EA"/>
    <w:rsid w:val="00702D05"/>
    <w:rsid w:val="00703009"/>
    <w:rsid w:val="00704CA9"/>
    <w:rsid w:val="0071048D"/>
    <w:rsid w:val="00710F86"/>
    <w:rsid w:val="007111A8"/>
    <w:rsid w:val="00714CD2"/>
    <w:rsid w:val="00723B5F"/>
    <w:rsid w:val="00725C33"/>
    <w:rsid w:val="00731BC3"/>
    <w:rsid w:val="00731FF7"/>
    <w:rsid w:val="00733216"/>
    <w:rsid w:val="00734159"/>
    <w:rsid w:val="00741192"/>
    <w:rsid w:val="007430BF"/>
    <w:rsid w:val="00743A33"/>
    <w:rsid w:val="00743DF3"/>
    <w:rsid w:val="00745AE2"/>
    <w:rsid w:val="00746080"/>
    <w:rsid w:val="0075144A"/>
    <w:rsid w:val="00760A97"/>
    <w:rsid w:val="00771313"/>
    <w:rsid w:val="00774BA6"/>
    <w:rsid w:val="00775C3B"/>
    <w:rsid w:val="00780C3D"/>
    <w:rsid w:val="00781AEF"/>
    <w:rsid w:val="00781C54"/>
    <w:rsid w:val="007828D7"/>
    <w:rsid w:val="007852D0"/>
    <w:rsid w:val="00786329"/>
    <w:rsid w:val="007918B3"/>
    <w:rsid w:val="00792C7D"/>
    <w:rsid w:val="00794293"/>
    <w:rsid w:val="00794A4D"/>
    <w:rsid w:val="007A159E"/>
    <w:rsid w:val="007A2D74"/>
    <w:rsid w:val="007A33B9"/>
    <w:rsid w:val="007A35A0"/>
    <w:rsid w:val="007A4B9B"/>
    <w:rsid w:val="007A5234"/>
    <w:rsid w:val="007A764D"/>
    <w:rsid w:val="007B7854"/>
    <w:rsid w:val="007C1CF5"/>
    <w:rsid w:val="007C457F"/>
    <w:rsid w:val="007C56A1"/>
    <w:rsid w:val="007C6454"/>
    <w:rsid w:val="007D5B5D"/>
    <w:rsid w:val="007D6F3B"/>
    <w:rsid w:val="007E01E0"/>
    <w:rsid w:val="007E5CA0"/>
    <w:rsid w:val="007E610C"/>
    <w:rsid w:val="007E6297"/>
    <w:rsid w:val="007E7486"/>
    <w:rsid w:val="007F0B93"/>
    <w:rsid w:val="007F2ECA"/>
    <w:rsid w:val="008019B9"/>
    <w:rsid w:val="00802960"/>
    <w:rsid w:val="0080547B"/>
    <w:rsid w:val="00805663"/>
    <w:rsid w:val="00805BC4"/>
    <w:rsid w:val="00811708"/>
    <w:rsid w:val="00813007"/>
    <w:rsid w:val="0081404B"/>
    <w:rsid w:val="00816B90"/>
    <w:rsid w:val="00817799"/>
    <w:rsid w:val="00821796"/>
    <w:rsid w:val="00822F5F"/>
    <w:rsid w:val="00824FD3"/>
    <w:rsid w:val="008261E4"/>
    <w:rsid w:val="00826589"/>
    <w:rsid w:val="00830070"/>
    <w:rsid w:val="00830F91"/>
    <w:rsid w:val="00834BCC"/>
    <w:rsid w:val="008355D9"/>
    <w:rsid w:val="00836451"/>
    <w:rsid w:val="00850D54"/>
    <w:rsid w:val="00852E2B"/>
    <w:rsid w:val="00862C50"/>
    <w:rsid w:val="00863F8D"/>
    <w:rsid w:val="008714B0"/>
    <w:rsid w:val="00872A7F"/>
    <w:rsid w:val="00876331"/>
    <w:rsid w:val="00877B90"/>
    <w:rsid w:val="00880726"/>
    <w:rsid w:val="0089025E"/>
    <w:rsid w:val="008A0736"/>
    <w:rsid w:val="008A3532"/>
    <w:rsid w:val="008A3544"/>
    <w:rsid w:val="008B48B8"/>
    <w:rsid w:val="008B5348"/>
    <w:rsid w:val="008B58F8"/>
    <w:rsid w:val="008B62FF"/>
    <w:rsid w:val="008C0712"/>
    <w:rsid w:val="008C4520"/>
    <w:rsid w:val="008C5F09"/>
    <w:rsid w:val="008D470F"/>
    <w:rsid w:val="008D47FC"/>
    <w:rsid w:val="008D4B44"/>
    <w:rsid w:val="008E1F8F"/>
    <w:rsid w:val="008E3020"/>
    <w:rsid w:val="008E3F81"/>
    <w:rsid w:val="008E4768"/>
    <w:rsid w:val="008E761E"/>
    <w:rsid w:val="008E7F61"/>
    <w:rsid w:val="008F105F"/>
    <w:rsid w:val="008F77B3"/>
    <w:rsid w:val="009008F5"/>
    <w:rsid w:val="00900B78"/>
    <w:rsid w:val="00904CC1"/>
    <w:rsid w:val="009066AF"/>
    <w:rsid w:val="00906D66"/>
    <w:rsid w:val="00910578"/>
    <w:rsid w:val="00912050"/>
    <w:rsid w:val="00912A31"/>
    <w:rsid w:val="00912E48"/>
    <w:rsid w:val="00912E68"/>
    <w:rsid w:val="00923159"/>
    <w:rsid w:val="0092746F"/>
    <w:rsid w:val="00935DC9"/>
    <w:rsid w:val="00937F3C"/>
    <w:rsid w:val="009446C0"/>
    <w:rsid w:val="00947BAF"/>
    <w:rsid w:val="00951883"/>
    <w:rsid w:val="009527E3"/>
    <w:rsid w:val="009533E1"/>
    <w:rsid w:val="00955A60"/>
    <w:rsid w:val="0096082E"/>
    <w:rsid w:val="00961347"/>
    <w:rsid w:val="00962C2F"/>
    <w:rsid w:val="00964239"/>
    <w:rsid w:val="00964753"/>
    <w:rsid w:val="00965AD4"/>
    <w:rsid w:val="009666BE"/>
    <w:rsid w:val="00967410"/>
    <w:rsid w:val="00967D73"/>
    <w:rsid w:val="00970B9A"/>
    <w:rsid w:val="00971C4F"/>
    <w:rsid w:val="009745B6"/>
    <w:rsid w:val="0098119A"/>
    <w:rsid w:val="009823EE"/>
    <w:rsid w:val="00984AAF"/>
    <w:rsid w:val="00984EAF"/>
    <w:rsid w:val="00985521"/>
    <w:rsid w:val="00991B09"/>
    <w:rsid w:val="0099319C"/>
    <w:rsid w:val="00993CB2"/>
    <w:rsid w:val="009A0251"/>
    <w:rsid w:val="009A218B"/>
    <w:rsid w:val="009A5166"/>
    <w:rsid w:val="009A76F8"/>
    <w:rsid w:val="009B2B83"/>
    <w:rsid w:val="009C49F8"/>
    <w:rsid w:val="009D0F93"/>
    <w:rsid w:val="009D56E7"/>
    <w:rsid w:val="009D77CC"/>
    <w:rsid w:val="009D797A"/>
    <w:rsid w:val="009E2423"/>
    <w:rsid w:val="009E5490"/>
    <w:rsid w:val="009E55D7"/>
    <w:rsid w:val="009F4150"/>
    <w:rsid w:val="009F5665"/>
    <w:rsid w:val="009F5DAD"/>
    <w:rsid w:val="009F71CB"/>
    <w:rsid w:val="009F752C"/>
    <w:rsid w:val="00A01BCA"/>
    <w:rsid w:val="00A07088"/>
    <w:rsid w:val="00A10458"/>
    <w:rsid w:val="00A104E5"/>
    <w:rsid w:val="00A14629"/>
    <w:rsid w:val="00A153B6"/>
    <w:rsid w:val="00A164D5"/>
    <w:rsid w:val="00A20C2D"/>
    <w:rsid w:val="00A20E4F"/>
    <w:rsid w:val="00A25601"/>
    <w:rsid w:val="00A2678D"/>
    <w:rsid w:val="00A273C3"/>
    <w:rsid w:val="00A30C37"/>
    <w:rsid w:val="00A34275"/>
    <w:rsid w:val="00A3671B"/>
    <w:rsid w:val="00A36C65"/>
    <w:rsid w:val="00A37AE9"/>
    <w:rsid w:val="00A41BBE"/>
    <w:rsid w:val="00A443E3"/>
    <w:rsid w:val="00A45BDD"/>
    <w:rsid w:val="00A46060"/>
    <w:rsid w:val="00A46A0A"/>
    <w:rsid w:val="00A47818"/>
    <w:rsid w:val="00A51E0E"/>
    <w:rsid w:val="00A553F8"/>
    <w:rsid w:val="00A5606F"/>
    <w:rsid w:val="00A56852"/>
    <w:rsid w:val="00A56D0C"/>
    <w:rsid w:val="00A571EC"/>
    <w:rsid w:val="00A623E8"/>
    <w:rsid w:val="00A649E7"/>
    <w:rsid w:val="00A65DFA"/>
    <w:rsid w:val="00A6708F"/>
    <w:rsid w:val="00A71BF6"/>
    <w:rsid w:val="00A72AF9"/>
    <w:rsid w:val="00A74050"/>
    <w:rsid w:val="00A86F9A"/>
    <w:rsid w:val="00A95A81"/>
    <w:rsid w:val="00AA3329"/>
    <w:rsid w:val="00AA35E6"/>
    <w:rsid w:val="00AA50B6"/>
    <w:rsid w:val="00AA78FF"/>
    <w:rsid w:val="00AB3472"/>
    <w:rsid w:val="00AB3C13"/>
    <w:rsid w:val="00AC0F5D"/>
    <w:rsid w:val="00AC27EF"/>
    <w:rsid w:val="00AC4595"/>
    <w:rsid w:val="00AC659C"/>
    <w:rsid w:val="00AC66D9"/>
    <w:rsid w:val="00AC7CD7"/>
    <w:rsid w:val="00AD0762"/>
    <w:rsid w:val="00AE0209"/>
    <w:rsid w:val="00AE3DCF"/>
    <w:rsid w:val="00AE4452"/>
    <w:rsid w:val="00AE6604"/>
    <w:rsid w:val="00AE7C38"/>
    <w:rsid w:val="00AF1538"/>
    <w:rsid w:val="00AF2679"/>
    <w:rsid w:val="00AF2814"/>
    <w:rsid w:val="00AF5008"/>
    <w:rsid w:val="00AF6920"/>
    <w:rsid w:val="00B01F99"/>
    <w:rsid w:val="00B02B37"/>
    <w:rsid w:val="00B05276"/>
    <w:rsid w:val="00B132DB"/>
    <w:rsid w:val="00B15F5B"/>
    <w:rsid w:val="00B20A91"/>
    <w:rsid w:val="00B24295"/>
    <w:rsid w:val="00B24C05"/>
    <w:rsid w:val="00B26F80"/>
    <w:rsid w:val="00B31427"/>
    <w:rsid w:val="00B3166B"/>
    <w:rsid w:val="00B32FF9"/>
    <w:rsid w:val="00B33861"/>
    <w:rsid w:val="00B33E0B"/>
    <w:rsid w:val="00B40DE2"/>
    <w:rsid w:val="00B4377A"/>
    <w:rsid w:val="00B50210"/>
    <w:rsid w:val="00B50D8D"/>
    <w:rsid w:val="00B53955"/>
    <w:rsid w:val="00B53BFC"/>
    <w:rsid w:val="00B63C79"/>
    <w:rsid w:val="00B6408A"/>
    <w:rsid w:val="00B6478A"/>
    <w:rsid w:val="00B714B8"/>
    <w:rsid w:val="00B716E8"/>
    <w:rsid w:val="00B814CF"/>
    <w:rsid w:val="00B82C2C"/>
    <w:rsid w:val="00B85F35"/>
    <w:rsid w:val="00B8720B"/>
    <w:rsid w:val="00B876EF"/>
    <w:rsid w:val="00B91551"/>
    <w:rsid w:val="00B91FB5"/>
    <w:rsid w:val="00B9572B"/>
    <w:rsid w:val="00BA201F"/>
    <w:rsid w:val="00BA2598"/>
    <w:rsid w:val="00BA4697"/>
    <w:rsid w:val="00BA5893"/>
    <w:rsid w:val="00BB5378"/>
    <w:rsid w:val="00BB6F53"/>
    <w:rsid w:val="00BC086C"/>
    <w:rsid w:val="00BC0BD3"/>
    <w:rsid w:val="00BC5BA6"/>
    <w:rsid w:val="00BD0107"/>
    <w:rsid w:val="00BD2220"/>
    <w:rsid w:val="00BD4DBE"/>
    <w:rsid w:val="00BE0C33"/>
    <w:rsid w:val="00BE0FE9"/>
    <w:rsid w:val="00BE262C"/>
    <w:rsid w:val="00BE4C25"/>
    <w:rsid w:val="00BE6C3D"/>
    <w:rsid w:val="00BF42FE"/>
    <w:rsid w:val="00C02B29"/>
    <w:rsid w:val="00C06DA4"/>
    <w:rsid w:val="00C07606"/>
    <w:rsid w:val="00C12542"/>
    <w:rsid w:val="00C130EE"/>
    <w:rsid w:val="00C24725"/>
    <w:rsid w:val="00C30BA9"/>
    <w:rsid w:val="00C32396"/>
    <w:rsid w:val="00C32715"/>
    <w:rsid w:val="00C3541E"/>
    <w:rsid w:val="00C36A8F"/>
    <w:rsid w:val="00C401C8"/>
    <w:rsid w:val="00C42834"/>
    <w:rsid w:val="00C42FFA"/>
    <w:rsid w:val="00C47780"/>
    <w:rsid w:val="00C47C8C"/>
    <w:rsid w:val="00C507D8"/>
    <w:rsid w:val="00C51F5A"/>
    <w:rsid w:val="00C57018"/>
    <w:rsid w:val="00C62EAC"/>
    <w:rsid w:val="00C63F9F"/>
    <w:rsid w:val="00C6558E"/>
    <w:rsid w:val="00C66F97"/>
    <w:rsid w:val="00C7723C"/>
    <w:rsid w:val="00C838F5"/>
    <w:rsid w:val="00C841C0"/>
    <w:rsid w:val="00CA1AF4"/>
    <w:rsid w:val="00CA6068"/>
    <w:rsid w:val="00CA757A"/>
    <w:rsid w:val="00CB15E1"/>
    <w:rsid w:val="00CB3D46"/>
    <w:rsid w:val="00CB3D75"/>
    <w:rsid w:val="00CC0771"/>
    <w:rsid w:val="00CD1A87"/>
    <w:rsid w:val="00CD35F3"/>
    <w:rsid w:val="00CD5C93"/>
    <w:rsid w:val="00CD69CD"/>
    <w:rsid w:val="00CE342B"/>
    <w:rsid w:val="00CE63A5"/>
    <w:rsid w:val="00CF131F"/>
    <w:rsid w:val="00CF320C"/>
    <w:rsid w:val="00CF3A4B"/>
    <w:rsid w:val="00CF4001"/>
    <w:rsid w:val="00CF52E4"/>
    <w:rsid w:val="00CF75DF"/>
    <w:rsid w:val="00D05837"/>
    <w:rsid w:val="00D12D8A"/>
    <w:rsid w:val="00D13E0C"/>
    <w:rsid w:val="00D20FB5"/>
    <w:rsid w:val="00D25896"/>
    <w:rsid w:val="00D26EE6"/>
    <w:rsid w:val="00D33918"/>
    <w:rsid w:val="00D34AAF"/>
    <w:rsid w:val="00D373A1"/>
    <w:rsid w:val="00D37C0F"/>
    <w:rsid w:val="00D4113F"/>
    <w:rsid w:val="00D43E8E"/>
    <w:rsid w:val="00D45661"/>
    <w:rsid w:val="00D45943"/>
    <w:rsid w:val="00D47D22"/>
    <w:rsid w:val="00D51865"/>
    <w:rsid w:val="00D51D0C"/>
    <w:rsid w:val="00D52ECE"/>
    <w:rsid w:val="00D55D13"/>
    <w:rsid w:val="00D56C54"/>
    <w:rsid w:val="00D6407A"/>
    <w:rsid w:val="00D64A19"/>
    <w:rsid w:val="00D7189B"/>
    <w:rsid w:val="00D7327C"/>
    <w:rsid w:val="00D74140"/>
    <w:rsid w:val="00D80045"/>
    <w:rsid w:val="00D93AD4"/>
    <w:rsid w:val="00DA2E9E"/>
    <w:rsid w:val="00DA6E56"/>
    <w:rsid w:val="00DA78DD"/>
    <w:rsid w:val="00DB0DF2"/>
    <w:rsid w:val="00DB1C65"/>
    <w:rsid w:val="00DB485B"/>
    <w:rsid w:val="00DC0C4C"/>
    <w:rsid w:val="00DC24E5"/>
    <w:rsid w:val="00DC3B05"/>
    <w:rsid w:val="00DC6705"/>
    <w:rsid w:val="00DD1EF6"/>
    <w:rsid w:val="00DD2DE8"/>
    <w:rsid w:val="00DE04B8"/>
    <w:rsid w:val="00DE110C"/>
    <w:rsid w:val="00DE2BFC"/>
    <w:rsid w:val="00DE38B4"/>
    <w:rsid w:val="00DE4482"/>
    <w:rsid w:val="00DE5D02"/>
    <w:rsid w:val="00DF1E91"/>
    <w:rsid w:val="00DF2102"/>
    <w:rsid w:val="00DF48CC"/>
    <w:rsid w:val="00DF78F3"/>
    <w:rsid w:val="00E005A9"/>
    <w:rsid w:val="00E03579"/>
    <w:rsid w:val="00E040CF"/>
    <w:rsid w:val="00E065BA"/>
    <w:rsid w:val="00E115A8"/>
    <w:rsid w:val="00E1166E"/>
    <w:rsid w:val="00E24DC0"/>
    <w:rsid w:val="00E2519C"/>
    <w:rsid w:val="00E25229"/>
    <w:rsid w:val="00E25F2A"/>
    <w:rsid w:val="00E271F7"/>
    <w:rsid w:val="00E30C30"/>
    <w:rsid w:val="00E34468"/>
    <w:rsid w:val="00E35EB1"/>
    <w:rsid w:val="00E363D2"/>
    <w:rsid w:val="00E41455"/>
    <w:rsid w:val="00E42AD2"/>
    <w:rsid w:val="00E50856"/>
    <w:rsid w:val="00E538CC"/>
    <w:rsid w:val="00E54BBD"/>
    <w:rsid w:val="00E54DBA"/>
    <w:rsid w:val="00E57DB7"/>
    <w:rsid w:val="00E63D7C"/>
    <w:rsid w:val="00E640D5"/>
    <w:rsid w:val="00E64C4F"/>
    <w:rsid w:val="00E66E2E"/>
    <w:rsid w:val="00E67691"/>
    <w:rsid w:val="00E714F6"/>
    <w:rsid w:val="00E80F90"/>
    <w:rsid w:val="00E87669"/>
    <w:rsid w:val="00E877F0"/>
    <w:rsid w:val="00E92237"/>
    <w:rsid w:val="00E951EF"/>
    <w:rsid w:val="00E97A68"/>
    <w:rsid w:val="00EA1A80"/>
    <w:rsid w:val="00EA387D"/>
    <w:rsid w:val="00EA3D54"/>
    <w:rsid w:val="00EA42F9"/>
    <w:rsid w:val="00EA487F"/>
    <w:rsid w:val="00EA5244"/>
    <w:rsid w:val="00EA56D9"/>
    <w:rsid w:val="00EA5CE3"/>
    <w:rsid w:val="00EA6AD8"/>
    <w:rsid w:val="00EA7AB8"/>
    <w:rsid w:val="00EB4701"/>
    <w:rsid w:val="00EB51C1"/>
    <w:rsid w:val="00EB5AE1"/>
    <w:rsid w:val="00EB5E0B"/>
    <w:rsid w:val="00EB7247"/>
    <w:rsid w:val="00EB7C2A"/>
    <w:rsid w:val="00EC05A3"/>
    <w:rsid w:val="00EC2171"/>
    <w:rsid w:val="00ED442D"/>
    <w:rsid w:val="00ED70C2"/>
    <w:rsid w:val="00EE18FF"/>
    <w:rsid w:val="00EE1D64"/>
    <w:rsid w:val="00EE3E29"/>
    <w:rsid w:val="00EE489F"/>
    <w:rsid w:val="00EE558A"/>
    <w:rsid w:val="00EF082D"/>
    <w:rsid w:val="00EF45A2"/>
    <w:rsid w:val="00EF55AE"/>
    <w:rsid w:val="00F0647F"/>
    <w:rsid w:val="00F10CE3"/>
    <w:rsid w:val="00F12006"/>
    <w:rsid w:val="00F13443"/>
    <w:rsid w:val="00F14F3B"/>
    <w:rsid w:val="00F16362"/>
    <w:rsid w:val="00F207C7"/>
    <w:rsid w:val="00F2271D"/>
    <w:rsid w:val="00F24CCA"/>
    <w:rsid w:val="00F27185"/>
    <w:rsid w:val="00F34C4E"/>
    <w:rsid w:val="00F35D78"/>
    <w:rsid w:val="00F36B6D"/>
    <w:rsid w:val="00F41618"/>
    <w:rsid w:val="00F4166D"/>
    <w:rsid w:val="00F43FA3"/>
    <w:rsid w:val="00F4712F"/>
    <w:rsid w:val="00F4772B"/>
    <w:rsid w:val="00F510E5"/>
    <w:rsid w:val="00F55648"/>
    <w:rsid w:val="00F568F7"/>
    <w:rsid w:val="00F576E5"/>
    <w:rsid w:val="00F57C42"/>
    <w:rsid w:val="00F6343B"/>
    <w:rsid w:val="00F64F80"/>
    <w:rsid w:val="00F664DD"/>
    <w:rsid w:val="00F67E07"/>
    <w:rsid w:val="00F70046"/>
    <w:rsid w:val="00F713D0"/>
    <w:rsid w:val="00F72B15"/>
    <w:rsid w:val="00F748C2"/>
    <w:rsid w:val="00F74958"/>
    <w:rsid w:val="00F76C5C"/>
    <w:rsid w:val="00F804EC"/>
    <w:rsid w:val="00F8130F"/>
    <w:rsid w:val="00F818C7"/>
    <w:rsid w:val="00F819BB"/>
    <w:rsid w:val="00F81EF3"/>
    <w:rsid w:val="00F82066"/>
    <w:rsid w:val="00F84496"/>
    <w:rsid w:val="00F85DCB"/>
    <w:rsid w:val="00F86F9C"/>
    <w:rsid w:val="00F90D76"/>
    <w:rsid w:val="00F94055"/>
    <w:rsid w:val="00F95581"/>
    <w:rsid w:val="00FB17AB"/>
    <w:rsid w:val="00FB48CF"/>
    <w:rsid w:val="00FC002E"/>
    <w:rsid w:val="00FC4C23"/>
    <w:rsid w:val="00FC6204"/>
    <w:rsid w:val="00FC642E"/>
    <w:rsid w:val="00FD6229"/>
    <w:rsid w:val="00FE081C"/>
    <w:rsid w:val="00FE2AE4"/>
    <w:rsid w:val="00FE3F9E"/>
    <w:rsid w:val="00FE689F"/>
    <w:rsid w:val="00FE6B2F"/>
    <w:rsid w:val="00FE7809"/>
    <w:rsid w:val="00FF1223"/>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8448F0"/>
  <w15:docId w15:val="{69F07ED2-E287-4345-AEEB-955444A78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76E5"/>
    <w:pPr>
      <w:spacing w:before="240" w:after="0"/>
    </w:pPr>
    <w:rPr>
      <w:rFonts w:ascii="Calibri" w:hAnsi="Calibri"/>
      <w14:ligatures w14:val="standardContextual"/>
    </w:rPr>
  </w:style>
  <w:style w:type="paragraph" w:styleId="Heading1">
    <w:name w:val="heading 1"/>
    <w:basedOn w:val="Normal"/>
    <w:next w:val="Normal"/>
    <w:link w:val="Heading1Char"/>
    <w:uiPriority w:val="9"/>
    <w:qFormat/>
    <w:rsid w:val="004C62AA"/>
    <w:pPr>
      <w:keepNext/>
      <w:keepLines/>
      <w:autoSpaceDE w:val="0"/>
      <w:autoSpaceDN w:val="0"/>
      <w:adjustRightInd w:val="0"/>
      <w:spacing w:before="480" w:line="240" w:lineRule="auto"/>
      <w:textAlignment w:val="center"/>
      <w:outlineLvl w:val="0"/>
    </w:pPr>
    <w:rPr>
      <w:rFonts w:ascii="Arial" w:hAnsi="Arial" w:cs="Manrope ExtraLight"/>
      <w:b/>
      <w:color w:val="033636" w:themeColor="text2"/>
      <w:sz w:val="48"/>
      <w:szCs w:val="32"/>
    </w:rPr>
  </w:style>
  <w:style w:type="paragraph" w:styleId="Heading2">
    <w:name w:val="heading 2"/>
    <w:basedOn w:val="Normal"/>
    <w:next w:val="Normal"/>
    <w:link w:val="Heading2Char"/>
    <w:uiPriority w:val="9"/>
    <w:unhideWhenUsed/>
    <w:qFormat/>
    <w:rsid w:val="004C62AA"/>
    <w:pPr>
      <w:keepNext/>
      <w:autoSpaceDE w:val="0"/>
      <w:autoSpaceDN w:val="0"/>
      <w:adjustRightInd w:val="0"/>
      <w:spacing w:before="360" w:line="240" w:lineRule="auto"/>
      <w:textAlignment w:val="center"/>
      <w:outlineLvl w:val="1"/>
    </w:pPr>
    <w:rPr>
      <w:rFonts w:ascii="Arial" w:hAnsi="Arial" w:cs="MyriadPro-Bold"/>
      <w:b/>
      <w:bCs/>
      <w:color w:val="033636" w:themeColor="text2"/>
      <w:sz w:val="38"/>
      <w:szCs w:val="28"/>
    </w:rPr>
  </w:style>
  <w:style w:type="paragraph" w:styleId="Heading3">
    <w:name w:val="heading 3"/>
    <w:basedOn w:val="Normal"/>
    <w:next w:val="Normal"/>
    <w:link w:val="Heading3Char"/>
    <w:uiPriority w:val="9"/>
    <w:unhideWhenUsed/>
    <w:qFormat/>
    <w:rsid w:val="004C62AA"/>
    <w:pPr>
      <w:keepNext/>
      <w:keepLines/>
      <w:autoSpaceDE w:val="0"/>
      <w:autoSpaceDN w:val="0"/>
      <w:adjustRightInd w:val="0"/>
      <w:spacing w:before="360" w:line="240" w:lineRule="auto"/>
      <w:textAlignment w:val="center"/>
      <w:outlineLvl w:val="2"/>
    </w:pPr>
    <w:rPr>
      <w:rFonts w:ascii="Arial" w:hAnsi="Arial" w:cs="MyriadPro-Regular"/>
      <w:bCs/>
      <w:color w:val="033636" w:themeColor="text2"/>
      <w:sz w:val="32"/>
      <w:szCs w:val="26"/>
    </w:rPr>
  </w:style>
  <w:style w:type="paragraph" w:styleId="Heading4">
    <w:name w:val="heading 4"/>
    <w:basedOn w:val="Normal"/>
    <w:next w:val="Normal"/>
    <w:link w:val="Heading4Char"/>
    <w:uiPriority w:val="9"/>
    <w:unhideWhenUsed/>
    <w:qFormat/>
    <w:rsid w:val="00BA2598"/>
    <w:pPr>
      <w:keepNext/>
      <w:keepLines/>
      <w:spacing w:before="360" w:line="240" w:lineRule="auto"/>
      <w:outlineLvl w:val="3"/>
    </w:pPr>
    <w:rPr>
      <w:rFonts w:ascii="Arial" w:eastAsiaTheme="majorEastAsia" w:hAnsi="Arial" w:cstheme="majorBidi"/>
      <w:bCs/>
      <w:iCs/>
      <w:sz w:val="28"/>
      <w:lang w:val="en-GB"/>
    </w:rPr>
  </w:style>
  <w:style w:type="paragraph" w:styleId="Heading5">
    <w:name w:val="heading 5"/>
    <w:basedOn w:val="Normal"/>
    <w:next w:val="Normal"/>
    <w:link w:val="Heading5Char"/>
    <w:uiPriority w:val="9"/>
    <w:unhideWhenUsed/>
    <w:rsid w:val="004C62AA"/>
    <w:pPr>
      <w:keepNext/>
      <w:spacing w:line="240" w:lineRule="auto"/>
      <w:outlineLvl w:val="4"/>
    </w:pPr>
    <w:rPr>
      <w:rFonts w:ascii="Arial" w:eastAsiaTheme="majorEastAsia" w:hAnsi="Arial" w:cstheme="majorBidi"/>
      <w:b/>
      <w:bCs/>
      <w:color w:val="033636" w:themeColor="text2"/>
      <w:sz w:val="24"/>
      <w:lang w:val="en-GB"/>
    </w:rPr>
  </w:style>
  <w:style w:type="paragraph" w:styleId="Heading6">
    <w:name w:val="heading 6"/>
    <w:basedOn w:val="Normal"/>
    <w:next w:val="Normal"/>
    <w:link w:val="Heading6Char"/>
    <w:uiPriority w:val="9"/>
    <w:unhideWhenUsed/>
    <w:rsid w:val="004C62AA"/>
    <w:pPr>
      <w:keepNext/>
      <w:keepLines/>
      <w:spacing w:line="240" w:lineRule="auto"/>
      <w:outlineLvl w:val="5"/>
    </w:pPr>
    <w:rPr>
      <w:rFonts w:ascii="Arial" w:eastAsiaTheme="majorEastAsia" w:hAnsi="Arial" w:cstheme="majorBidi"/>
      <w:bCs/>
      <w:i/>
      <w:iCs/>
      <w:color w:val="033636" w:themeColor="text2"/>
      <w:sz w:val="24"/>
      <w:lang w:val="en-GB"/>
    </w:rPr>
  </w:style>
  <w:style w:type="paragraph" w:styleId="Heading7">
    <w:name w:val="heading 7"/>
    <w:basedOn w:val="Normal"/>
    <w:next w:val="Normal"/>
    <w:link w:val="Heading7Char"/>
    <w:uiPriority w:val="9"/>
    <w:semiHidden/>
    <w:unhideWhenUsed/>
    <w:qFormat/>
    <w:rsid w:val="00741192"/>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2AA"/>
    <w:rPr>
      <w:rFonts w:ascii="Arial" w:hAnsi="Arial" w:cs="Manrope ExtraLight"/>
      <w:b/>
      <w:color w:val="033636" w:themeColor="text2"/>
      <w:sz w:val="48"/>
      <w:szCs w:val="32"/>
      <w14:ligatures w14:val="standardContextual"/>
    </w:rPr>
  </w:style>
  <w:style w:type="paragraph" w:customStyle="1" w:styleId="CDIFooter">
    <w:name w:val="CDI Footer"/>
    <w:basedOn w:val="Normal"/>
    <w:link w:val="CDIFooterChar"/>
    <w:qFormat/>
    <w:rsid w:val="00DB485B"/>
    <w:pPr>
      <w:spacing w:before="0"/>
      <w:ind w:left="284" w:hanging="284"/>
    </w:pPr>
    <w:rPr>
      <w:sz w:val="18"/>
      <w:szCs w:val="18"/>
    </w:rPr>
  </w:style>
  <w:style w:type="character" w:customStyle="1" w:styleId="Heading2Char">
    <w:name w:val="Heading 2 Char"/>
    <w:basedOn w:val="DefaultParagraphFont"/>
    <w:link w:val="Heading2"/>
    <w:uiPriority w:val="9"/>
    <w:rsid w:val="004C62AA"/>
    <w:rPr>
      <w:rFonts w:ascii="Arial" w:hAnsi="Arial" w:cs="MyriadPro-Bold"/>
      <w:b/>
      <w:bCs/>
      <w:color w:val="033636" w:themeColor="text2"/>
      <w:sz w:val="38"/>
      <w:szCs w:val="28"/>
      <w14:ligatures w14:val="standardContextual"/>
    </w:rPr>
  </w:style>
  <w:style w:type="paragraph" w:customStyle="1" w:styleId="CDIBoxsummaryheading-Teal">
    <w:name w:val="CDI Box summary heading - Teal"/>
    <w:basedOn w:val="CDIBoxheading-Teal"/>
    <w:rsid w:val="00734159"/>
    <w:rPr>
      <w:b/>
      <w:bCs/>
      <w:sz w:val="48"/>
    </w:rPr>
  </w:style>
  <w:style w:type="paragraph" w:styleId="Title">
    <w:name w:val="Title"/>
    <w:basedOn w:val="Normal"/>
    <w:next w:val="Normal"/>
    <w:link w:val="TitleChar"/>
    <w:uiPriority w:val="10"/>
    <w:rsid w:val="00EF45A2"/>
    <w:pPr>
      <w:spacing w:before="360" w:line="240" w:lineRule="auto"/>
      <w:outlineLvl w:val="0"/>
    </w:pPr>
    <w:rPr>
      <w:rFonts w:ascii="Arial Narrow" w:hAnsi="Arial Narrow" w:cs="Arial"/>
      <w:b/>
      <w:bCs/>
      <w:sz w:val="52"/>
      <w:szCs w:val="54"/>
      <w:lang w:val="en-GB"/>
    </w:rPr>
  </w:style>
  <w:style w:type="character" w:customStyle="1" w:styleId="TitleChar">
    <w:name w:val="Title Char"/>
    <w:basedOn w:val="DefaultParagraphFont"/>
    <w:link w:val="Title"/>
    <w:uiPriority w:val="10"/>
    <w:rsid w:val="00EF45A2"/>
    <w:rPr>
      <w:rFonts w:ascii="Arial Narrow" w:hAnsi="Arial Narrow" w:cs="Arial"/>
      <w:b/>
      <w:bCs/>
      <w:sz w:val="52"/>
      <w:szCs w:val="54"/>
      <w:lang w:val="en-GB"/>
      <w14:ligatures w14:val="standardContextual"/>
    </w:rPr>
  </w:style>
  <w:style w:type="character" w:customStyle="1" w:styleId="Heading3Char">
    <w:name w:val="Heading 3 Char"/>
    <w:basedOn w:val="DefaultParagraphFont"/>
    <w:link w:val="Heading3"/>
    <w:uiPriority w:val="9"/>
    <w:rsid w:val="004C62AA"/>
    <w:rPr>
      <w:rFonts w:ascii="Arial" w:hAnsi="Arial" w:cs="MyriadPro-Regular"/>
      <w:bCs/>
      <w:color w:val="033636" w:themeColor="text2"/>
      <w:sz w:val="32"/>
      <w:szCs w:val="26"/>
      <w14:ligatures w14:val="standardContextual"/>
    </w:rPr>
  </w:style>
  <w:style w:type="character" w:customStyle="1" w:styleId="Heading4Char">
    <w:name w:val="Heading 4 Char"/>
    <w:basedOn w:val="DefaultParagraphFont"/>
    <w:link w:val="Heading4"/>
    <w:uiPriority w:val="9"/>
    <w:rsid w:val="00BA2598"/>
    <w:rPr>
      <w:rFonts w:ascii="Arial" w:eastAsiaTheme="majorEastAsia" w:hAnsi="Arial" w:cstheme="majorBidi"/>
      <w:bCs/>
      <w:iCs/>
      <w:sz w:val="28"/>
      <w:lang w:val="en-GB"/>
      <w14:ligatures w14:val="standardContextual"/>
    </w:rPr>
  </w:style>
  <w:style w:type="character" w:customStyle="1" w:styleId="Heading5Char">
    <w:name w:val="Heading 5 Char"/>
    <w:basedOn w:val="DefaultParagraphFont"/>
    <w:link w:val="Heading5"/>
    <w:uiPriority w:val="9"/>
    <w:rsid w:val="004C62AA"/>
    <w:rPr>
      <w:rFonts w:ascii="Arial" w:eastAsiaTheme="majorEastAsia" w:hAnsi="Arial" w:cstheme="majorBidi"/>
      <w:b/>
      <w:bCs/>
      <w:color w:val="033636" w:themeColor="text2"/>
      <w:sz w:val="24"/>
      <w:lang w:val="en-GB"/>
      <w14:ligatures w14:val="standardContextual"/>
    </w:rPr>
  </w:style>
  <w:style w:type="character" w:customStyle="1" w:styleId="Heading6Char">
    <w:name w:val="Heading 6 Char"/>
    <w:basedOn w:val="DefaultParagraphFont"/>
    <w:link w:val="Heading6"/>
    <w:uiPriority w:val="9"/>
    <w:rsid w:val="004C62AA"/>
    <w:rPr>
      <w:rFonts w:ascii="Arial" w:eastAsiaTheme="majorEastAsia" w:hAnsi="Arial" w:cstheme="majorBidi"/>
      <w:bCs/>
      <w:i/>
      <w:iCs/>
      <w:color w:val="033636" w:themeColor="text2"/>
      <w:sz w:val="24"/>
      <w:lang w:val="en-GB"/>
      <w14:ligatures w14:val="standardContextual"/>
    </w:rPr>
  </w:style>
  <w:style w:type="paragraph" w:styleId="Subtitle">
    <w:name w:val="Subtitle"/>
    <w:basedOn w:val="Normal"/>
    <w:next w:val="Normal"/>
    <w:link w:val="SubtitleChar"/>
    <w:uiPriority w:val="11"/>
    <w:qFormat/>
    <w:rsid w:val="00734159"/>
    <w:pPr>
      <w:keepNext/>
    </w:pPr>
    <w:rPr>
      <w:rFonts w:ascii="Arial Narrow" w:hAnsi="Arial Narrow"/>
      <w:sz w:val="26"/>
    </w:rPr>
  </w:style>
  <w:style w:type="character" w:customStyle="1" w:styleId="SubtitleChar">
    <w:name w:val="Subtitle Char"/>
    <w:basedOn w:val="DefaultParagraphFont"/>
    <w:link w:val="Subtitle"/>
    <w:uiPriority w:val="11"/>
    <w:rsid w:val="00734159"/>
    <w:rPr>
      <w:rFonts w:ascii="Arial Narrow" w:hAnsi="Arial Narrow"/>
      <w:sz w:val="26"/>
      <w14:ligatures w14:val="standardContextual"/>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character" w:styleId="UnresolvedMention">
    <w:name w:val="Unresolved Mention"/>
    <w:basedOn w:val="DefaultParagraphFont"/>
    <w:uiPriority w:val="99"/>
    <w:semiHidden/>
    <w:unhideWhenUsed/>
    <w:rsid w:val="006307C1"/>
    <w:rPr>
      <w:color w:val="605E5C"/>
      <w:shd w:val="clear" w:color="auto" w:fill="E1DFDD"/>
    </w:rPr>
  </w:style>
  <w:style w:type="paragraph" w:styleId="Footer">
    <w:name w:val="footer"/>
    <w:basedOn w:val="Normal"/>
    <w:link w:val="FooterChar"/>
    <w:uiPriority w:val="99"/>
    <w:unhideWhenUsed/>
    <w:rsid w:val="00734159"/>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34159"/>
    <w:rPr>
      <w:rFonts w:ascii="Calibri" w:hAnsi="Calibri"/>
      <w14:ligatures w14:val="standardContextual"/>
    </w:rPr>
  </w:style>
  <w:style w:type="character" w:styleId="PlaceholderText">
    <w:name w:val="Placeholder Text"/>
    <w:basedOn w:val="DefaultParagraphFont"/>
    <w:uiPriority w:val="99"/>
    <w:semiHidden/>
    <w:rsid w:val="00433DFA"/>
    <w:rPr>
      <w:color w:val="808080"/>
    </w:rPr>
  </w:style>
  <w:style w:type="paragraph" w:styleId="Header">
    <w:name w:val="header"/>
    <w:basedOn w:val="Normal"/>
    <w:link w:val="HeaderChar"/>
    <w:uiPriority w:val="99"/>
    <w:unhideWhenUsed/>
    <w:rsid w:val="00690957"/>
    <w:pPr>
      <w:spacing w:before="0" w:line="240" w:lineRule="auto"/>
    </w:pPr>
  </w:style>
  <w:style w:type="paragraph" w:styleId="FootnoteText">
    <w:name w:val="footnote text"/>
    <w:basedOn w:val="Normal"/>
    <w:link w:val="FootnoteTextChar"/>
    <w:uiPriority w:val="99"/>
    <w:semiHidden/>
    <w:unhideWhenUsed/>
    <w:rsid w:val="00224EFF"/>
    <w:pPr>
      <w:spacing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paragraph" w:customStyle="1" w:styleId="Heading2-nospacebefore">
    <w:name w:val="Heading 2 - no space before"/>
    <w:basedOn w:val="Heading2"/>
    <w:link w:val="Heading2-nospacebeforeChar"/>
    <w:qFormat/>
    <w:rsid w:val="004C62AA"/>
    <w:pPr>
      <w:spacing w:before="0"/>
    </w:pPr>
    <w:rPr>
      <w:lang w:val="en-GB"/>
    </w:rPr>
  </w:style>
  <w:style w:type="character" w:customStyle="1" w:styleId="Bold">
    <w:name w:val="Bold"/>
    <w:uiPriority w:val="99"/>
    <w:rsid w:val="00526875"/>
    <w:rPr>
      <w:b/>
      <w:bCs/>
    </w:rPr>
  </w:style>
  <w:style w:type="paragraph" w:customStyle="1" w:styleId="CDITable-Title">
    <w:name w:val="CDI Table - Title"/>
    <w:basedOn w:val="Normal"/>
    <w:uiPriority w:val="99"/>
    <w:rsid w:val="00734159"/>
    <w:pPr>
      <w:keepNext/>
      <w:suppressAutoHyphens/>
      <w:autoSpaceDE w:val="0"/>
      <w:autoSpaceDN w:val="0"/>
      <w:adjustRightInd w:val="0"/>
      <w:spacing w:after="120"/>
      <w:textAlignment w:val="center"/>
    </w:pPr>
    <w:rPr>
      <w:rFonts w:cs="Minion3-Bold"/>
      <w:b/>
      <w:bCs/>
      <w:szCs w:val="23"/>
      <w:lang w:val="en-GB"/>
    </w:rPr>
  </w:style>
  <w:style w:type="paragraph" w:customStyle="1" w:styleId="CDITable-Footnote">
    <w:name w:val="CDI Table - Footnote"/>
    <w:basedOn w:val="Normal"/>
    <w:link w:val="CDITable-FootnoteChar"/>
    <w:uiPriority w:val="99"/>
    <w:rsid w:val="00734159"/>
    <w:pPr>
      <w:autoSpaceDE w:val="0"/>
      <w:autoSpaceDN w:val="0"/>
      <w:adjustRightInd w:val="0"/>
      <w:spacing w:before="40"/>
      <w:ind w:left="284" w:hanging="284"/>
      <w:textAlignment w:val="center"/>
    </w:pPr>
    <w:rPr>
      <w:rFonts w:cs="Minion3Caption-Regular"/>
      <w:sz w:val="16"/>
      <w:szCs w:val="16"/>
      <w:lang w:val="en-GB"/>
    </w:rPr>
  </w:style>
  <w:style w:type="paragraph" w:customStyle="1" w:styleId="CDICopyrighttext">
    <w:name w:val="CDI Copyright text"/>
    <w:basedOn w:val="CDIBoxtext-Green"/>
    <w:qFormat/>
    <w:rsid w:val="00C32715"/>
    <w:pPr>
      <w:spacing w:before="0"/>
    </w:pPr>
    <w:rPr>
      <w:sz w:val="20"/>
      <w:szCs w:val="20"/>
    </w:rPr>
  </w:style>
  <w:style w:type="paragraph" w:customStyle="1" w:styleId="CDICopyrightbullets">
    <w:name w:val="CDI Copyright bullets"/>
    <w:basedOn w:val="CDIBoxbullet-Green"/>
    <w:qFormat/>
    <w:rsid w:val="00AC7CD7"/>
    <w:pPr>
      <w:numPr>
        <w:numId w:val="30"/>
      </w:numPr>
      <w:spacing w:before="60" w:after="60"/>
      <w:ind w:left="284" w:hanging="284"/>
    </w:pPr>
    <w:rPr>
      <w:sz w:val="20"/>
      <w:szCs w:val="20"/>
    </w:rPr>
  </w:style>
  <w:style w:type="paragraph" w:customStyle="1" w:styleId="Heading3-nospacebefore">
    <w:name w:val="Heading 3 - no space before"/>
    <w:basedOn w:val="Heading3"/>
    <w:next w:val="Normal"/>
    <w:link w:val="Heading3-nospacebeforeChar"/>
    <w:qFormat/>
    <w:rsid w:val="00BA2598"/>
    <w:pPr>
      <w:spacing w:before="0"/>
    </w:pPr>
    <w:rPr>
      <w:lang w:val="en-GB"/>
    </w:rPr>
  </w:style>
  <w:style w:type="character" w:customStyle="1" w:styleId="CDITable-FootnoteChar">
    <w:name w:val="CDI Table - Footnote Char"/>
    <w:basedOn w:val="DefaultParagraphFont"/>
    <w:link w:val="CDITable-Footnote"/>
    <w:uiPriority w:val="99"/>
    <w:rsid w:val="00734159"/>
    <w:rPr>
      <w:rFonts w:ascii="Calibri" w:hAnsi="Calibri" w:cs="Minion3Caption-Regular"/>
      <w:sz w:val="16"/>
      <w:szCs w:val="16"/>
      <w:lang w:val="en-GB"/>
      <w14:ligatures w14:val="standardContextual"/>
    </w:rPr>
  </w:style>
  <w:style w:type="paragraph" w:customStyle="1" w:styleId="CDIBullets-L1">
    <w:name w:val="CDI Bullets - L1"/>
    <w:basedOn w:val="Normal"/>
    <w:uiPriority w:val="99"/>
    <w:rsid w:val="00734159"/>
    <w:pPr>
      <w:numPr>
        <w:numId w:val="29"/>
      </w:numPr>
      <w:suppressAutoHyphens/>
      <w:autoSpaceDE w:val="0"/>
      <w:autoSpaceDN w:val="0"/>
      <w:adjustRightInd w:val="0"/>
      <w:textAlignment w:val="center"/>
    </w:pPr>
    <w:rPr>
      <w:rFonts w:cs="Minion3-Regular"/>
      <w:szCs w:val="23"/>
      <w:lang w:val="en-GB"/>
    </w:rPr>
  </w:style>
  <w:style w:type="paragraph" w:customStyle="1" w:styleId="CDINumberedList1-L1">
    <w:name w:val="CDI Numbered List (1.) - L1"/>
    <w:basedOn w:val="Normal"/>
    <w:uiPriority w:val="99"/>
    <w:rsid w:val="00065A6B"/>
    <w:pPr>
      <w:keepLines/>
      <w:numPr>
        <w:numId w:val="17"/>
      </w:numPr>
      <w:autoSpaceDE w:val="0"/>
      <w:autoSpaceDN w:val="0"/>
      <w:adjustRightInd w:val="0"/>
      <w:ind w:left="397" w:hanging="397"/>
      <w:textAlignment w:val="center"/>
    </w:pPr>
    <w:rPr>
      <w:rFonts w:cs="Minion3-Regular"/>
      <w:szCs w:val="23"/>
      <w:lang w:val="en-GB"/>
    </w:rPr>
  </w:style>
  <w:style w:type="paragraph" w:customStyle="1" w:styleId="CDIBoxbullet-Green">
    <w:name w:val="CDI Box bullet - Green"/>
    <w:basedOn w:val="Normal"/>
    <w:qFormat/>
    <w:rsid w:val="00906D66"/>
    <w:pPr>
      <w:numPr>
        <w:numId w:val="33"/>
      </w:num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contextualSpacing/>
    </w:pPr>
    <w:rPr>
      <w:rFonts w:eastAsia="Arial"/>
      <w:kern w:val="2"/>
      <w:szCs w:val="24"/>
      <w:lang w:eastAsia="en-US"/>
    </w:rPr>
  </w:style>
  <w:style w:type="paragraph" w:customStyle="1" w:styleId="CDIBoxheading-Teal">
    <w:name w:val="CDI Box heading - Teal"/>
    <w:basedOn w:val="Normal"/>
    <w:qFormat/>
    <w:rsid w:val="00955A60"/>
    <w:pPr>
      <w:keepNext/>
      <w:keepLines/>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outlineLvl w:val="1"/>
    </w:pPr>
    <w:rPr>
      <w:rFonts w:ascii="Arial" w:eastAsia="Times New Roman" w:hAnsi="Arial" w:cs="Times New Roman"/>
      <w:color w:val="033636" w:themeColor="text2"/>
      <w:kern w:val="2"/>
      <w:sz w:val="28"/>
      <w:szCs w:val="24"/>
      <w:lang w:eastAsia="en-US"/>
    </w:rPr>
  </w:style>
  <w:style w:type="paragraph" w:customStyle="1" w:styleId="CDIBoxtext-Green">
    <w:name w:val="CDI Box text - Green"/>
    <w:basedOn w:val="Normal"/>
    <w:qFormat/>
    <w:rsid w:val="00734159"/>
    <w:pPr>
      <w:pBdr>
        <w:top w:val="single" w:sz="6" w:space="4" w:color="00DCA1" w:themeColor="background2"/>
        <w:left w:val="single" w:sz="6" w:space="4" w:color="00DCA1" w:themeColor="background2"/>
        <w:bottom w:val="single" w:sz="6" w:space="4" w:color="00DCA1" w:themeColor="background2"/>
        <w:right w:val="single" w:sz="6" w:space="4" w:color="00DCA1" w:themeColor="background2"/>
      </w:pBdr>
      <w:spacing w:before="120" w:after="120"/>
    </w:pPr>
  </w:style>
  <w:style w:type="paragraph" w:customStyle="1" w:styleId="CDIDOIinformation">
    <w:name w:val="CDI DOI information"/>
    <w:basedOn w:val="Normal"/>
    <w:qFormat/>
    <w:rsid w:val="00C02B29"/>
    <w:pPr>
      <w:spacing w:before="600"/>
    </w:pPr>
    <w:rPr>
      <w:rFonts w:ascii="Arial Narrow" w:hAnsi="Arial Narrow"/>
    </w:rPr>
  </w:style>
  <w:style w:type="paragraph" w:customStyle="1" w:styleId="CDIFigure-Placeholder">
    <w:name w:val="CDI Figure - Placeholder"/>
    <w:basedOn w:val="Normal"/>
    <w:qFormat/>
    <w:rsid w:val="00734159"/>
    <w:pPr>
      <w:spacing w:after="240"/>
      <w:jc w:val="center"/>
    </w:pPr>
  </w:style>
  <w:style w:type="paragraph" w:customStyle="1" w:styleId="CDITable-Firstfootnote">
    <w:name w:val="CDI Table - First footnote"/>
    <w:basedOn w:val="CDITable-Footnote"/>
    <w:qFormat/>
    <w:rsid w:val="00734159"/>
    <w:pPr>
      <w:spacing w:before="240"/>
    </w:pPr>
  </w:style>
  <w:style w:type="paragraph" w:customStyle="1" w:styleId="CDICopyrighttitle">
    <w:name w:val="CDI Copyright title"/>
    <w:basedOn w:val="CDIBoxheading-Teal"/>
    <w:qFormat/>
    <w:rsid w:val="00734159"/>
    <w:pPr>
      <w:spacing w:before="0" w:after="120"/>
      <w:outlineLvl w:val="0"/>
    </w:pPr>
  </w:style>
  <w:style w:type="character" w:customStyle="1" w:styleId="CDICopyrighttextbullet">
    <w:name w:val="CDI Copyright text bullet"/>
    <w:basedOn w:val="DefaultParagraphFont"/>
    <w:uiPriority w:val="1"/>
    <w:qFormat/>
    <w:rsid w:val="00734159"/>
    <w:rPr>
      <w:rFonts w:cs="Arial"/>
      <w:color w:val="033636" w:themeColor="text2"/>
    </w:rPr>
  </w:style>
  <w:style w:type="paragraph" w:customStyle="1" w:styleId="CDICopyrightheading">
    <w:name w:val="CDI Copyright heading"/>
    <w:basedOn w:val="CDICopyrighttext"/>
    <w:qFormat/>
    <w:rsid w:val="00C32715"/>
    <w:pPr>
      <w:spacing w:before="120" w:after="0"/>
    </w:pPr>
    <w:rPr>
      <w:b/>
      <w:bCs/>
    </w:rPr>
  </w:style>
  <w:style w:type="character" w:styleId="Hyperlink">
    <w:name w:val="Hyperlink"/>
    <w:basedOn w:val="DefaultParagraphFont"/>
    <w:uiPriority w:val="99"/>
    <w:unhideWhenUsed/>
    <w:rsid w:val="00984EAF"/>
    <w:rPr>
      <w:color w:val="auto"/>
      <w:u w:val="none"/>
    </w:rPr>
  </w:style>
  <w:style w:type="character" w:customStyle="1" w:styleId="HeaderChar">
    <w:name w:val="Header Char"/>
    <w:basedOn w:val="DefaultParagraphFont"/>
    <w:link w:val="Header"/>
    <w:uiPriority w:val="99"/>
    <w:rsid w:val="00690957"/>
    <w:rPr>
      <w:rFonts w:ascii="Calibri" w:hAnsi="Calibri"/>
      <w14:ligatures w14:val="standardContextual"/>
    </w:rPr>
  </w:style>
  <w:style w:type="paragraph" w:customStyle="1" w:styleId="Normal-morespace">
    <w:name w:val="Normal - more space"/>
    <w:basedOn w:val="Normal"/>
    <w:qFormat/>
    <w:rsid w:val="0037146D"/>
    <w:pPr>
      <w:spacing w:after="240"/>
    </w:pPr>
  </w:style>
  <w:style w:type="paragraph" w:customStyle="1" w:styleId="CDITable-HeaderRowLeft">
    <w:name w:val="CDI Table - Header Row Left"/>
    <w:basedOn w:val="CDITable-Title"/>
    <w:qFormat/>
    <w:rsid w:val="00734159"/>
    <w:pPr>
      <w:spacing w:beforeAutospacing="1" w:afterAutospacing="1" w:line="240" w:lineRule="auto"/>
    </w:pPr>
    <w:rPr>
      <w:color w:val="FFFFFF" w:themeColor="background1"/>
      <w:sz w:val="18"/>
    </w:rPr>
  </w:style>
  <w:style w:type="paragraph" w:customStyle="1" w:styleId="CDITable-RowLeft">
    <w:name w:val="CDI Table - Row Left"/>
    <w:basedOn w:val="Normal"/>
    <w:qFormat/>
    <w:rsid w:val="00734159"/>
    <w:pPr>
      <w:spacing w:before="100" w:beforeAutospacing="1" w:after="100" w:afterAutospacing="1" w:line="240" w:lineRule="auto"/>
    </w:pPr>
    <w:rPr>
      <w:sz w:val="18"/>
    </w:rPr>
  </w:style>
  <w:style w:type="paragraph" w:customStyle="1" w:styleId="CDITable-TotalRowLeft">
    <w:name w:val="CDI Table - Total Row Left"/>
    <w:basedOn w:val="Normal"/>
    <w:qFormat/>
    <w:rsid w:val="00734159"/>
    <w:pPr>
      <w:spacing w:before="100" w:beforeAutospacing="1" w:after="100" w:afterAutospacing="1" w:line="240" w:lineRule="auto"/>
    </w:pPr>
    <w:rPr>
      <w:b/>
      <w:sz w:val="18"/>
      <w:lang w:val="en-GB"/>
    </w:rPr>
  </w:style>
  <w:style w:type="paragraph" w:customStyle="1" w:styleId="CDITable-TotalRowCentre">
    <w:name w:val="CDI Table - Total Row Centre"/>
    <w:basedOn w:val="CDITable-TotalRowLeft"/>
    <w:qFormat/>
    <w:rsid w:val="00734159"/>
    <w:pPr>
      <w:jc w:val="center"/>
    </w:pPr>
  </w:style>
  <w:style w:type="paragraph" w:customStyle="1" w:styleId="CDITable-RowCentre">
    <w:name w:val="CDI Table - Row Centre"/>
    <w:basedOn w:val="CDITable-RowLeft"/>
    <w:qFormat/>
    <w:rsid w:val="00734159"/>
    <w:pPr>
      <w:jc w:val="center"/>
    </w:pPr>
    <w:rPr>
      <w:lang w:val="en-GB"/>
    </w:rPr>
  </w:style>
  <w:style w:type="paragraph" w:customStyle="1" w:styleId="CDITable-HeaderRowCentre">
    <w:name w:val="CDI Table - Header Row Centre"/>
    <w:basedOn w:val="Normal"/>
    <w:qFormat/>
    <w:rsid w:val="00734159"/>
    <w:pPr>
      <w:spacing w:beforeAutospacing="1" w:afterAutospacing="1" w:line="240" w:lineRule="auto"/>
      <w:jc w:val="center"/>
    </w:pPr>
    <w:rPr>
      <w:b/>
      <w:color w:val="FFFFFF" w:themeColor="background1"/>
      <w:sz w:val="18"/>
      <w:lang w:val="en-GB"/>
    </w:rPr>
  </w:style>
  <w:style w:type="character" w:customStyle="1" w:styleId="BoldItalic">
    <w:name w:val="Bold Italic"/>
    <w:basedOn w:val="Bold"/>
    <w:uiPriority w:val="99"/>
    <w:rsid w:val="00F82066"/>
    <w:rPr>
      <w:b/>
      <w:bCs/>
      <w:i/>
      <w:iCs/>
    </w:rPr>
  </w:style>
  <w:style w:type="paragraph" w:customStyle="1" w:styleId="Normal-lessspace">
    <w:name w:val="Normal - less space"/>
    <w:basedOn w:val="Normal"/>
    <w:qFormat/>
    <w:rsid w:val="00F8130F"/>
    <w:pPr>
      <w:spacing w:before="120"/>
    </w:pPr>
    <w:rPr>
      <w:lang w:val="en-GB"/>
    </w:rPr>
  </w:style>
  <w:style w:type="paragraph" w:customStyle="1" w:styleId="Normal-nospace">
    <w:name w:val="Normal - no space"/>
    <w:basedOn w:val="Normal"/>
    <w:qFormat/>
    <w:rsid w:val="00962C2F"/>
    <w:pPr>
      <w:spacing w:before="0"/>
    </w:pPr>
    <w:rPr>
      <w:noProof/>
    </w:rPr>
  </w:style>
  <w:style w:type="paragraph" w:customStyle="1" w:styleId="CDIBannerplacement">
    <w:name w:val="CDI Banner placement"/>
    <w:basedOn w:val="Normal"/>
    <w:qFormat/>
    <w:rsid w:val="00962C2F"/>
    <w:pPr>
      <w:spacing w:before="2640" w:line="240" w:lineRule="auto"/>
    </w:pPr>
  </w:style>
  <w:style w:type="paragraph" w:customStyle="1" w:styleId="CDIFooter-firstpage">
    <w:name w:val="CDI Footer - first page"/>
    <w:basedOn w:val="CDIFooter"/>
    <w:qFormat/>
    <w:rsid w:val="00CF52E4"/>
    <w:pPr>
      <w:pBdr>
        <w:top w:val="single" w:sz="6" w:space="4" w:color="00DCA1" w:themeColor="background2"/>
      </w:pBdr>
    </w:pPr>
  </w:style>
  <w:style w:type="paragraph" w:customStyle="1" w:styleId="CDINumberedList1-L1lessspace">
    <w:name w:val="CDI Numbered List (1.) - L1 less space"/>
    <w:basedOn w:val="CDINumberedList1-L1"/>
    <w:qFormat/>
    <w:rsid w:val="00343991"/>
    <w:pPr>
      <w:spacing w:before="120"/>
    </w:pPr>
  </w:style>
  <w:style w:type="paragraph" w:customStyle="1" w:styleId="CDITable-RowBullets">
    <w:name w:val="CDI Table - Row Bullets"/>
    <w:basedOn w:val="CDITable-RowLeft"/>
    <w:qFormat/>
    <w:rsid w:val="00734159"/>
    <w:pPr>
      <w:numPr>
        <w:numId w:val="31"/>
      </w:numPr>
      <w:spacing w:before="0" w:beforeAutospacing="0" w:afterAutospacing="0"/>
      <w:ind w:left="170" w:hanging="170"/>
    </w:pPr>
  </w:style>
  <w:style w:type="paragraph" w:customStyle="1" w:styleId="CDITable-Titlemorespacebefore">
    <w:name w:val="CDI Table - Title more space before"/>
    <w:basedOn w:val="CDITable-Title"/>
    <w:qFormat/>
    <w:rsid w:val="00734159"/>
    <w:pPr>
      <w:spacing w:before="360"/>
    </w:pPr>
  </w:style>
  <w:style w:type="paragraph" w:styleId="Revision">
    <w:name w:val="Revision"/>
    <w:hidden/>
    <w:uiPriority w:val="99"/>
    <w:semiHidden/>
    <w:rsid w:val="006221DD"/>
    <w:pPr>
      <w:spacing w:after="0" w:line="240" w:lineRule="auto"/>
    </w:pPr>
    <w:rPr>
      <w:rFonts w:ascii="Calibri" w:hAnsi="Calibri"/>
      <w14:ligatures w14:val="standardContextual"/>
    </w:rPr>
  </w:style>
  <w:style w:type="paragraph" w:customStyle="1" w:styleId="CDICopyrighttext-lessspace">
    <w:name w:val="CDI Copyright text - less space"/>
    <w:basedOn w:val="CDICopyrighttext"/>
    <w:qFormat/>
    <w:rsid w:val="00C32715"/>
    <w:pPr>
      <w:spacing w:after="60"/>
    </w:pPr>
  </w:style>
  <w:style w:type="paragraph" w:customStyle="1" w:styleId="CDICopyrighttext-nospace">
    <w:name w:val="CDI Copyright text - no space"/>
    <w:basedOn w:val="CDICopyrighttext"/>
    <w:qFormat/>
    <w:rsid w:val="00863F8D"/>
    <w:pPr>
      <w:spacing w:after="0"/>
    </w:pPr>
  </w:style>
  <w:style w:type="paragraph" w:customStyle="1" w:styleId="Heading1-nospacebefore">
    <w:name w:val="Heading 1 - no space before"/>
    <w:basedOn w:val="Heading1"/>
    <w:next w:val="Normal"/>
    <w:link w:val="Heading1-nospacebeforeChar"/>
    <w:qFormat/>
    <w:rsid w:val="00122ADA"/>
    <w:pPr>
      <w:spacing w:before="0"/>
    </w:pPr>
  </w:style>
  <w:style w:type="paragraph" w:customStyle="1" w:styleId="CDIJournal">
    <w:name w:val="CDI Journal"/>
    <w:basedOn w:val="Normal"/>
    <w:qFormat/>
    <w:rsid w:val="006B16A5"/>
    <w:pPr>
      <w:spacing w:before="1920" w:line="240" w:lineRule="auto"/>
      <w:ind w:left="-680"/>
    </w:pPr>
    <w:rPr>
      <w:rFonts w:ascii="Arial" w:hAnsi="Arial"/>
      <w:color w:val="033636" w:themeColor="text2"/>
      <w:sz w:val="42"/>
    </w:rPr>
  </w:style>
  <w:style w:type="paragraph" w:customStyle="1" w:styleId="Heading1-lessspacebefore">
    <w:name w:val="Heading 1 - less space before"/>
    <w:basedOn w:val="Heading1"/>
    <w:link w:val="Heading1-lessspacebeforeChar"/>
    <w:qFormat/>
    <w:rsid w:val="004C62AA"/>
    <w:pPr>
      <w:spacing w:before="240"/>
    </w:pPr>
    <w:rPr>
      <w:lang w:val="en-GB"/>
    </w:rPr>
  </w:style>
  <w:style w:type="character" w:customStyle="1" w:styleId="Heading1-lessspacebeforeChar">
    <w:name w:val="Heading 1 - less space before Char"/>
    <w:basedOn w:val="Heading1Char"/>
    <w:link w:val="Heading1-lessspacebefore"/>
    <w:rsid w:val="004C62AA"/>
    <w:rPr>
      <w:rFonts w:ascii="Arial" w:hAnsi="Arial" w:cs="Manrope ExtraLight"/>
      <w:b/>
      <w:color w:val="033636" w:themeColor="text2"/>
      <w:sz w:val="48"/>
      <w:szCs w:val="32"/>
      <w:lang w:val="en-GB"/>
      <w14:ligatures w14:val="standardContextual"/>
    </w:rPr>
  </w:style>
  <w:style w:type="character" w:customStyle="1" w:styleId="Heading1-nospacebeforeChar">
    <w:name w:val="Heading 1 - no space before Char"/>
    <w:basedOn w:val="Heading1Char"/>
    <w:link w:val="Heading1-nospacebefore"/>
    <w:rsid w:val="00BA2598"/>
    <w:rPr>
      <w:rFonts w:ascii="Arial" w:hAnsi="Arial" w:cs="Manrope ExtraLight"/>
      <w:b/>
      <w:color w:val="033636" w:themeColor="text2"/>
      <w:sz w:val="48"/>
      <w:szCs w:val="32"/>
      <w14:ligatures w14:val="standardContextual"/>
    </w:rPr>
  </w:style>
  <w:style w:type="character" w:customStyle="1" w:styleId="Heading2-nospacebeforeChar">
    <w:name w:val="Heading 2 - no space before Char"/>
    <w:basedOn w:val="Heading2Char"/>
    <w:link w:val="Heading2-nospacebefore"/>
    <w:rsid w:val="00BA2598"/>
    <w:rPr>
      <w:rFonts w:ascii="Arial" w:hAnsi="Arial" w:cs="MyriadPro-Bold"/>
      <w:b/>
      <w:bCs/>
      <w:color w:val="033636" w:themeColor="text2"/>
      <w:sz w:val="38"/>
      <w:szCs w:val="28"/>
      <w:lang w:val="en-GB"/>
      <w14:ligatures w14:val="standardContextual"/>
    </w:rPr>
  </w:style>
  <w:style w:type="paragraph" w:customStyle="1" w:styleId="Heading2-lessspacebefore">
    <w:name w:val="Heading 2 - less space before"/>
    <w:basedOn w:val="Heading2"/>
    <w:next w:val="Normal"/>
    <w:link w:val="Heading2-lessspacebeforeChar"/>
    <w:qFormat/>
    <w:rsid w:val="00BA2598"/>
    <w:pPr>
      <w:spacing w:before="240"/>
    </w:pPr>
  </w:style>
  <w:style w:type="character" w:customStyle="1" w:styleId="Heading2-lessspacebeforeChar">
    <w:name w:val="Heading 2 - less space before Char"/>
    <w:basedOn w:val="Heading2Char"/>
    <w:link w:val="Heading2-lessspacebefore"/>
    <w:rsid w:val="00BA2598"/>
    <w:rPr>
      <w:rFonts w:ascii="Arial" w:hAnsi="Arial" w:cs="MyriadPro-Bold"/>
      <w:b/>
      <w:bCs/>
      <w:color w:val="033636" w:themeColor="text2"/>
      <w:sz w:val="38"/>
      <w:szCs w:val="28"/>
      <w14:ligatures w14:val="standardContextual"/>
    </w:rPr>
  </w:style>
  <w:style w:type="character" w:customStyle="1" w:styleId="Heading3-nospacebeforeChar">
    <w:name w:val="Heading 3 - no space before Char"/>
    <w:basedOn w:val="Heading3Char"/>
    <w:link w:val="Heading3-nospacebefore"/>
    <w:rsid w:val="00BA2598"/>
    <w:rPr>
      <w:rFonts w:ascii="Arial" w:hAnsi="Arial" w:cs="MyriadPro-Regular"/>
      <w:bCs/>
      <w:color w:val="033636" w:themeColor="text2"/>
      <w:sz w:val="32"/>
      <w:szCs w:val="26"/>
      <w:lang w:val="en-GB"/>
      <w14:ligatures w14:val="standardContextual"/>
    </w:rPr>
  </w:style>
  <w:style w:type="paragraph" w:customStyle="1" w:styleId="Heading3-lessspacebefore">
    <w:name w:val="Heading 3 - less space before"/>
    <w:basedOn w:val="Heading3"/>
    <w:next w:val="Normal"/>
    <w:link w:val="Heading3-lessspacebeforeChar"/>
    <w:qFormat/>
    <w:rsid w:val="00BA2598"/>
    <w:pPr>
      <w:spacing w:before="240"/>
    </w:pPr>
  </w:style>
  <w:style w:type="character" w:customStyle="1" w:styleId="Heading3-lessspacebeforeChar">
    <w:name w:val="Heading 3 - less space before Char"/>
    <w:basedOn w:val="Heading3Char"/>
    <w:link w:val="Heading3-lessspacebefore"/>
    <w:rsid w:val="00BA2598"/>
    <w:rPr>
      <w:rFonts w:ascii="Arial" w:hAnsi="Arial" w:cs="MyriadPro-Regular"/>
      <w:bCs/>
      <w:color w:val="033636" w:themeColor="text2"/>
      <w:sz w:val="32"/>
      <w:szCs w:val="26"/>
      <w14:ligatures w14:val="standardContextual"/>
    </w:rPr>
  </w:style>
  <w:style w:type="paragraph" w:customStyle="1" w:styleId="Authordetails">
    <w:name w:val="Author details"/>
    <w:basedOn w:val="Heading4"/>
    <w:next w:val="Normal"/>
    <w:link w:val="AuthordetailsChar"/>
    <w:qFormat/>
    <w:rsid w:val="00BA2598"/>
    <w:pPr>
      <w:outlineLvl w:val="1"/>
    </w:pPr>
    <w:rPr>
      <w:color w:val="033636" w:themeColor="text2"/>
    </w:rPr>
  </w:style>
  <w:style w:type="character" w:customStyle="1" w:styleId="AuthordetailsChar">
    <w:name w:val="Author details Char"/>
    <w:basedOn w:val="Heading4Char"/>
    <w:link w:val="Authordetails"/>
    <w:rsid w:val="00BA2598"/>
    <w:rPr>
      <w:rFonts w:ascii="Arial" w:eastAsiaTheme="majorEastAsia" w:hAnsi="Arial" w:cstheme="majorBidi"/>
      <w:bCs/>
      <w:iCs/>
      <w:color w:val="033636" w:themeColor="text2"/>
      <w:sz w:val="28"/>
      <w:lang w:val="en-GB"/>
      <w14:ligatures w14:val="standardContextual"/>
    </w:rPr>
  </w:style>
  <w:style w:type="character" w:customStyle="1" w:styleId="CDIFooterChar">
    <w:name w:val="CDI Footer Char"/>
    <w:basedOn w:val="DefaultParagraphFont"/>
    <w:link w:val="CDIFooter"/>
    <w:rsid w:val="00DB485B"/>
    <w:rPr>
      <w:rFonts w:ascii="Calibri" w:hAnsi="Calibri"/>
      <w:sz w:val="18"/>
      <w:szCs w:val="18"/>
      <w14:ligatures w14:val="standardContextual"/>
    </w:rPr>
  </w:style>
  <w:style w:type="paragraph" w:customStyle="1" w:styleId="CDITable-Titlenospacebefore">
    <w:name w:val="CDI Table - Title no space before"/>
    <w:basedOn w:val="CDITable-Title"/>
    <w:qFormat/>
    <w:rsid w:val="00D26EE6"/>
    <w:pPr>
      <w:spacing w:before="0"/>
    </w:pPr>
  </w:style>
  <w:style w:type="paragraph" w:styleId="BodyText">
    <w:name w:val="Body Text"/>
    <w:basedOn w:val="Normal"/>
    <w:link w:val="BodyTextChar"/>
    <w:uiPriority w:val="99"/>
    <w:semiHidden/>
    <w:unhideWhenUsed/>
    <w:rsid w:val="00513453"/>
    <w:pPr>
      <w:spacing w:after="120"/>
    </w:pPr>
  </w:style>
  <w:style w:type="character" w:customStyle="1" w:styleId="BodyTextChar">
    <w:name w:val="Body Text Char"/>
    <w:basedOn w:val="DefaultParagraphFont"/>
    <w:link w:val="BodyText"/>
    <w:uiPriority w:val="99"/>
    <w:semiHidden/>
    <w:rsid w:val="00513453"/>
    <w:rPr>
      <w:rFonts w:ascii="Calibri" w:hAnsi="Calibri"/>
      <w14:ligatures w14:val="standardContextual"/>
    </w:rPr>
  </w:style>
  <w:style w:type="paragraph" w:customStyle="1" w:styleId="H1Figures-Tables">
    <w:name w:val="H1 (Figures-Tables)"/>
    <w:basedOn w:val="Normal"/>
    <w:uiPriority w:val="99"/>
    <w:rsid w:val="001A492C"/>
    <w:pPr>
      <w:suppressAutoHyphens/>
      <w:autoSpaceDE w:val="0"/>
      <w:autoSpaceDN w:val="0"/>
      <w:adjustRightInd w:val="0"/>
      <w:spacing w:before="0" w:line="288" w:lineRule="auto"/>
      <w:jc w:val="center"/>
      <w:textAlignment w:val="center"/>
    </w:pPr>
    <w:rPr>
      <w:rFonts w:ascii="MyriadPro-Regular" w:hAnsi="MyriadPro-Regular" w:cs="MyriadPro-Regular"/>
      <w:b/>
      <w:bCs/>
      <w:color w:val="FFFFFF"/>
      <w:sz w:val="18"/>
      <w:szCs w:val="18"/>
      <w:lang w:val="en-GB"/>
      <w14:ligatures w14:val="none"/>
    </w:rPr>
  </w:style>
  <w:style w:type="paragraph" w:customStyle="1" w:styleId="H1LeftFigures-Tables">
    <w:name w:val="H1 Left (Figures-Tables)"/>
    <w:basedOn w:val="H1Figures-Tables"/>
    <w:uiPriority w:val="99"/>
    <w:rsid w:val="001A492C"/>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935526654">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foodstandards.gov.au/publications/Documents/agents-foodborne-illness-norovirusnov17.pdf" TargetMode="External"/><Relationship Id="rId26" Type="http://schemas.openxmlformats.org/officeDocument/2006/relationships/hyperlink" Target="https://doi.org/10.7326/0003-4819-96-6-756" TargetMode="External"/><Relationship Id="rId39" Type="http://schemas.openxmlformats.org/officeDocument/2006/relationships/hyperlink" Target="https://doi.org/10.4315/0362-028X.JFP-16-083" TargetMode="External"/><Relationship Id="rId3" Type="http://schemas.openxmlformats.org/officeDocument/2006/relationships/numbering" Target="numbering.xml"/><Relationship Id="rId21" Type="http://schemas.openxmlformats.org/officeDocument/2006/relationships/hyperlink" Target="https://doi.org/10.1093/aje/kwg074" TargetMode="External"/><Relationship Id="rId34" Type="http://schemas.openxmlformats.org/officeDocument/2006/relationships/hyperlink" Target="https://doi.org/10.1159/000205527" TargetMode="External"/><Relationship Id="rId42" Type="http://schemas.openxmlformats.org/officeDocument/2006/relationships/hyperlink" Target="https://creativecommons.org/licenses/by-nc-nd/4.0/legalcode" TargetMode="External"/><Relationship Id="rId47" Type="http://schemas.openxmlformats.org/officeDocument/2006/relationships/hyperlink" Target="mailto:cdi.editor@health.gov.au" TargetMode="External"/><Relationship Id="rId50"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www.foodstandards.gov.au/publications/Documents/Compendium_revised%20Dec%202022.pdf" TargetMode="External"/><Relationship Id="rId25" Type="http://schemas.openxmlformats.org/officeDocument/2006/relationships/hyperlink" Target="https://www.legislation.act.gov.au/a/2001-66/" TargetMode="External"/><Relationship Id="rId33" Type="http://schemas.openxmlformats.org/officeDocument/2006/relationships/hyperlink" Target="https://doi.org/10.1128/JCM.01516-07" TargetMode="External"/><Relationship Id="rId38" Type="http://schemas.openxmlformats.org/officeDocument/2006/relationships/hyperlink" Target="https://doi.org/10.1128/AEM.02354-10" TargetMode="External"/><Relationship Id="rId46" Type="http://schemas.openxmlformats.org/officeDocument/2006/relationships/hyperlink" Target="https://www1.health.gov.au/internet/main/publishing.nsf/Content/cda-pubs-cdi-auth_inst.htm" TargetMode="External"/><Relationship Id="rId2" Type="http://schemas.openxmlformats.org/officeDocument/2006/relationships/customXml" Target="../customXml/item2.xml"/><Relationship Id="rId16" Type="http://schemas.openxmlformats.org/officeDocument/2006/relationships/hyperlink" Target="https://www.foodstandards.gov.au/sites/default/files/publications/Documents/ANU%20Foodborne%20Disease%20Final%20Report.pdf" TargetMode="External"/><Relationship Id="rId20" Type="http://schemas.openxmlformats.org/officeDocument/2006/relationships/hyperlink" Target="https://doi.org/10.1086/594119" TargetMode="External"/><Relationship Id="rId29" Type="http://schemas.openxmlformats.org/officeDocument/2006/relationships/hyperlink" Target="https://doi.org/10.4315/0362-028X.JFP-13-079" TargetMode="External"/><Relationship Id="rId41" Type="http://schemas.openxmlformats.org/officeDocument/2006/relationships/hyperlink" Target="https://doi.org/10.1016/j.foodcont.2013.05.01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www.legislation.act.gov.au/a/1997-69/" TargetMode="External"/><Relationship Id="rId32" Type="http://schemas.openxmlformats.org/officeDocument/2006/relationships/hyperlink" Target="https://doi.org/10.4014/jmb.0906.06032" TargetMode="External"/><Relationship Id="rId37" Type="http://schemas.openxmlformats.org/officeDocument/2006/relationships/hyperlink" Target="https://doi.org/10.4315/0362-028x-70.9.2199" TargetMode="External"/><Relationship Id="rId40" Type="http://schemas.openxmlformats.org/officeDocument/2006/relationships/hyperlink" Target="https://doi.org/10.33321/cdi.2022.46.69" TargetMode="External"/><Relationship Id="rId45" Type="http://schemas.openxmlformats.org/officeDocument/2006/relationships/hyperlink" Target="https://www1.health.gov.au/internet/main/publishing.nsf/Content/cda-pubs-cdi-auth_inst.htm" TargetMode="Externa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angusmclure.shinyapps.io/AusFBDCosting/" TargetMode="External"/><Relationship Id="rId28" Type="http://schemas.openxmlformats.org/officeDocument/2006/relationships/hyperlink" Target="https://doi.org/10.1017/S0950268813000095" TargetMode="External"/><Relationship Id="rId36" Type="http://schemas.openxmlformats.org/officeDocument/2006/relationships/hyperlink" Target="https://doi.org/10.1017/s095026889900299x" TargetMode="External"/><Relationship Id="rId49" Type="http://schemas.openxmlformats.org/officeDocument/2006/relationships/hyperlink" Target="mailto:cdi.editor@health.gov.au" TargetMode="External"/><Relationship Id="rId10" Type="http://schemas.openxmlformats.org/officeDocument/2006/relationships/header" Target="header1.xml"/><Relationship Id="rId19" Type="http://schemas.openxmlformats.org/officeDocument/2006/relationships/hyperlink" Target="https://doi.org/10.1016/j.jcv.2013.08.013" TargetMode="External"/><Relationship Id="rId31" Type="http://schemas.openxmlformats.org/officeDocument/2006/relationships/hyperlink" Target="https://doi.org/10.4315/0362-028x-70.7.1752" TargetMode="External"/><Relationship Id="rId44" Type="http://schemas.openxmlformats.org/officeDocument/2006/relationships/hyperlink" Target="http://www.health.gov.au/cdna" TargetMode="External"/><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s://doi.org/10.1093/aje/kwaa044" TargetMode="External"/><Relationship Id="rId27" Type="http://schemas.openxmlformats.org/officeDocument/2006/relationships/hyperlink" Target="https://doi.org/10.1093/ofid/ofy049" TargetMode="External"/><Relationship Id="rId30" Type="http://schemas.openxmlformats.org/officeDocument/2006/relationships/hyperlink" Target="https://doi.org/10.1080/00365540110080133" TargetMode="External"/><Relationship Id="rId35" Type="http://schemas.openxmlformats.org/officeDocument/2006/relationships/hyperlink" Target="https://doi.org/10.1186/1471-2334-10-269" TargetMode="External"/><Relationship Id="rId43" Type="http://schemas.openxmlformats.org/officeDocument/2006/relationships/hyperlink" Target="mailto:cdi.editor@health.gov.au" TargetMode="External"/><Relationship Id="rId48" Type="http://schemas.openxmlformats.org/officeDocument/2006/relationships/hyperlink" Target="http://www.health.gov.au/cdi" TargetMode="External"/><Relationship Id="rId8" Type="http://schemas.openxmlformats.org/officeDocument/2006/relationships/endnotes" Target="endnotes.xml"/><Relationship Id="rId51"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project-redcap.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lisa\OneDrive%20-%20Department%20of%20Health\Documents\Custom%20Office%20Templates\CDI-template-jan-2025.dotx" TargetMode="External"/></Relationships>
</file>

<file path=word/theme/theme1.xml><?xml version="1.0" encoding="utf-8"?>
<a:theme xmlns:a="http://schemas.openxmlformats.org/drawingml/2006/main" name="Office Theme">
  <a:themeElements>
    <a:clrScheme name="ACDC minus Blue, Purple, Stone">
      <a:dk1>
        <a:srgbClr val="000000"/>
      </a:dk1>
      <a:lt1>
        <a:srgbClr val="FFFFFF"/>
      </a:lt1>
      <a:dk2>
        <a:srgbClr val="033636"/>
      </a:dk2>
      <a:lt2>
        <a:srgbClr val="00DCA1"/>
      </a:lt2>
      <a:accent1>
        <a:srgbClr val="083E9C"/>
      </a:accent1>
      <a:accent2>
        <a:srgbClr val="511D81"/>
      </a:accent2>
      <a:accent3>
        <a:srgbClr val="A10000"/>
      </a:accent3>
      <a:accent4>
        <a:srgbClr val="C55500"/>
      </a:accent4>
      <a:accent5>
        <a:srgbClr val="FF6E73"/>
      </a:accent5>
      <a:accent6>
        <a:srgbClr val="FFD031"/>
      </a:accent6>
      <a:hlink>
        <a:srgbClr val="184174"/>
      </a:hlink>
      <a:folHlink>
        <a:srgbClr val="6D6D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CDI-template-jan-2025.dotx</Template>
  <TotalTime>3</TotalTime>
  <Pages>17</Pages>
  <Words>5350</Words>
  <Characters>33472</Characters>
  <Application>Microsoft Office Word</Application>
  <DocSecurity>0</DocSecurity>
  <Lines>278</Lines>
  <Paragraphs>77</Paragraphs>
  <ScaleCrop>false</ScaleCrop>
  <HeadingPairs>
    <vt:vector size="2" baseType="variant">
      <vt:variant>
        <vt:lpstr>Title</vt:lpstr>
      </vt:variant>
      <vt:variant>
        <vt:i4>1</vt:i4>
      </vt:variant>
    </vt:vector>
  </HeadingPairs>
  <TitlesOfParts>
    <vt:vector size="1" baseType="lpstr">
      <vt:lpstr>Communicable Diseases Intelligence - A foodborne norovirus outbreak associated with six events and a single caterer, Canberra, November 2022</vt:lpstr>
    </vt:vector>
  </TitlesOfParts>
  <Company/>
  <LinksUpToDate>false</LinksUpToDate>
  <CharactersWithSpaces>38745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A foodborne norovirus outbreak associated with six events and a single caterer, Canberra, November 2022</dc:title>
  <dc:subject>In November 2022, an outbreak of gastrointestinal illness affecting six events where attendees consumed food catered by a single catering business in the Australian Capital Territory was investigated. This article describes the outbreak investigation and reports the findings of the epidemiological, environmental and laboratory investigations</dc:subject>
  <dc:creator>Alison Chew, Felicity Greenville, Nevada Pingault, Siobhan Barrett, Natasha Waters, Lyndell Hudson, Jenny Post</dc:creator>
  <cp:keywords>foodborne diseases; gastroenteritis; norovirus; diarrhoea; caterer; outbreak</cp:keywords>
  <dc:description>© 2025 Commonwealth of Australia as represented by the Department of Health and Aged Care. This publication is licenced under a CC BY-NC-ND licence.</dc:description>
  <cp:revision>2</cp:revision>
  <cp:lastPrinted>2024-03-07T01:06:00Z</cp:lastPrinted>
  <dcterms:created xsi:type="dcterms:W3CDTF">2025-03-17T04:18:00Z</dcterms:created>
  <dcterms:modified xsi:type="dcterms:W3CDTF">2025-03-17T04:18:00Z</dcterms:modified>
  <cp:category>Outbreak report</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2025</vt:lpwstr>
  </property>
  <property fmtid="{D5CDD505-2E9C-101B-9397-08002B2CF9AE}" pid="3" name="Vol">
    <vt:i4>49</vt:i4>
  </property>
  <property fmtid="{D5CDD505-2E9C-101B-9397-08002B2CF9AE}" pid="4" name="ePubDate">
    <vt:lpwstr>25/03/2025</vt:lpwstr>
  </property>
  <property fmtid="{D5CDD505-2E9C-101B-9397-08002B2CF9AE}" pid="5" name="DOI">
    <vt:lpwstr>https://doi.org/10.33321/cdi.2025.49.016</vt:lpwstr>
  </property>
</Properties>
</file>